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C8B240" w14:textId="7449A2A3" w:rsidR="001F673F" w:rsidRDefault="005D2787" w:rsidP="00BC74FE">
      <w:pPr>
        <w:jc w:val="center"/>
        <w:rPr>
          <w:rFonts w:ascii="Century Gothic" w:hAnsi="Century Gothic" w:cs="Century Gothic"/>
          <w:sz w:val="20"/>
          <w:szCs w:val="20"/>
          <w:lang w:val="el-GR"/>
        </w:rPr>
      </w:pPr>
      <w:bookmarkStart w:id="0" w:name="_GoBack"/>
      <w:bookmarkEnd w:id="0"/>
      <w:r>
        <w:rPr>
          <w:noProof/>
          <w:lang w:val="el-GR" w:eastAsia="el-GR"/>
        </w:rPr>
        <w:drawing>
          <wp:inline distT="0" distB="0" distL="0" distR="0" wp14:anchorId="02BBAC2D" wp14:editId="6BB6EE12">
            <wp:extent cx="1510145" cy="1510145"/>
            <wp:effectExtent l="0" t="0" r="0" b="0"/>
            <wp:docPr id="1" name="Εικόνα 1"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62" cy="1520862"/>
                    </a:xfrm>
                    <a:prstGeom prst="rect">
                      <a:avLst/>
                    </a:prstGeom>
                    <a:noFill/>
                    <a:ln>
                      <a:noFill/>
                    </a:ln>
                  </pic:spPr>
                </pic:pic>
              </a:graphicData>
            </a:graphic>
          </wp:inline>
        </w:drawing>
      </w:r>
      <w:r w:rsidR="007255E3">
        <w:rPr>
          <w:rFonts w:ascii="Century Gothic" w:hAnsi="Century Gothic" w:cs="Century Gothic"/>
          <w:sz w:val="20"/>
          <w:szCs w:val="20"/>
          <w:lang w:val="el-GR"/>
        </w:rPr>
        <w:br w:type="textWrapping" w:clear="all"/>
      </w:r>
      <w:r w:rsidR="00BD4664">
        <w:rPr>
          <w:rFonts w:ascii="Century Gothic" w:hAnsi="Century Gothic" w:cs="Century Gothic"/>
          <w:sz w:val="20"/>
          <w:szCs w:val="20"/>
          <w:lang w:val="el-GR"/>
        </w:rPr>
        <w:br/>
        <w:t xml:space="preserve">ΣΥΛΛΟΓΟΣ ΑΠΟΦΟΙΤΩΝ </w:t>
      </w:r>
      <w:r w:rsidR="007A71BF">
        <w:rPr>
          <w:rFonts w:ascii="Century Gothic" w:hAnsi="Century Gothic" w:cs="Century Gothic"/>
          <w:sz w:val="20"/>
          <w:szCs w:val="20"/>
          <w:lang w:val="el-GR"/>
        </w:rPr>
        <w:t xml:space="preserve">ΤΜΗΜΑΤΟΣ ΤΟΠΙΚΗΣ </w:t>
      </w:r>
      <w:r w:rsidR="007A71BF" w:rsidRPr="007A71BF">
        <w:rPr>
          <w:rFonts w:ascii="Century Gothic" w:hAnsi="Century Gothic" w:cs="Century Gothic"/>
          <w:sz w:val="20"/>
          <w:szCs w:val="20"/>
          <w:lang w:val="el-GR"/>
        </w:rPr>
        <w:t>ΑΥΤΟΔΙΟ</w:t>
      </w:r>
      <w:r w:rsidR="007A71BF">
        <w:rPr>
          <w:rFonts w:ascii="Century Gothic" w:hAnsi="Century Gothic" w:cs="Century Gothic"/>
          <w:sz w:val="20"/>
          <w:szCs w:val="20"/>
          <w:lang w:val="el-GR"/>
        </w:rPr>
        <w:t>Ι</w:t>
      </w:r>
      <w:r w:rsidR="007A71BF" w:rsidRPr="007A71BF">
        <w:rPr>
          <w:rFonts w:ascii="Century Gothic" w:hAnsi="Century Gothic" w:cs="Century Gothic"/>
          <w:sz w:val="20"/>
          <w:szCs w:val="20"/>
          <w:lang w:val="el-GR"/>
        </w:rPr>
        <w:t>ΚΗΣΗΣ</w:t>
      </w:r>
      <w:r w:rsidR="007A71BF">
        <w:rPr>
          <w:rFonts w:ascii="Century Gothic" w:hAnsi="Century Gothic" w:cs="Century Gothic"/>
          <w:sz w:val="20"/>
          <w:szCs w:val="20"/>
          <w:lang w:val="el-GR"/>
        </w:rPr>
        <w:t xml:space="preserve"> </w:t>
      </w:r>
    </w:p>
    <w:p w14:paraId="088B7A9B" w14:textId="30709719" w:rsidR="001F673F" w:rsidRDefault="007A71BF" w:rsidP="001F673F">
      <w:pPr>
        <w:jc w:val="center"/>
        <w:rPr>
          <w:rFonts w:ascii="Century Gothic" w:hAnsi="Century Gothic" w:cs="Century Gothic"/>
          <w:sz w:val="20"/>
          <w:szCs w:val="20"/>
          <w:lang w:val="el-GR"/>
        </w:rPr>
      </w:pPr>
      <w:r>
        <w:rPr>
          <w:rFonts w:ascii="Century Gothic" w:hAnsi="Century Gothic" w:cs="Century Gothic"/>
          <w:sz w:val="20"/>
          <w:szCs w:val="20"/>
          <w:lang w:val="el-GR"/>
        </w:rPr>
        <w:t>Τ</w:t>
      </w:r>
      <w:r w:rsidR="001F673F">
        <w:rPr>
          <w:rFonts w:ascii="Century Gothic" w:hAnsi="Century Gothic" w:cs="Century Gothic"/>
          <w:sz w:val="20"/>
          <w:szCs w:val="20"/>
          <w:lang w:val="el-GR"/>
        </w:rPr>
        <w:t>ΕΧΝΟΛΟΓΙΚΟΥ ΕΚΠΑΙΔΕΥΤΙΚΟΥ ΙΔΡΥΜΑΤΟΣ</w:t>
      </w:r>
      <w:r>
        <w:rPr>
          <w:rFonts w:ascii="Century Gothic" w:hAnsi="Century Gothic" w:cs="Century Gothic"/>
          <w:sz w:val="20"/>
          <w:szCs w:val="20"/>
          <w:lang w:val="el-GR"/>
        </w:rPr>
        <w:t xml:space="preserve"> ΚΑΛΑΜΑΤΑΣ</w:t>
      </w:r>
      <w:r w:rsidR="001F673F">
        <w:rPr>
          <w:rFonts w:ascii="Century Gothic" w:hAnsi="Century Gothic" w:cs="Century Gothic"/>
          <w:sz w:val="20"/>
          <w:szCs w:val="20"/>
          <w:lang w:val="el-GR"/>
        </w:rPr>
        <w:t xml:space="preserve"> –</w:t>
      </w:r>
      <w:r>
        <w:rPr>
          <w:rFonts w:ascii="Century Gothic" w:hAnsi="Century Gothic" w:cs="Century Gothic"/>
          <w:sz w:val="20"/>
          <w:szCs w:val="20"/>
          <w:lang w:val="el-GR"/>
        </w:rPr>
        <w:t xml:space="preserve"> ΠΕΛΟΠΟΝΝΗΣΟΥ </w:t>
      </w:r>
    </w:p>
    <w:p w14:paraId="002BDD02" w14:textId="77777777" w:rsidR="001F673F" w:rsidRDefault="001F673F" w:rsidP="00BC74FE">
      <w:pPr>
        <w:jc w:val="center"/>
        <w:rPr>
          <w:rFonts w:ascii="Century Gothic" w:hAnsi="Century Gothic" w:cs="Century Gothic"/>
          <w:sz w:val="20"/>
          <w:szCs w:val="20"/>
          <w:lang w:val="el-GR"/>
        </w:rPr>
      </w:pPr>
    </w:p>
    <w:p w14:paraId="531529DD" w14:textId="182DFB4E" w:rsidR="004540B8" w:rsidRDefault="00E24E79" w:rsidP="001F673F">
      <w:pPr>
        <w:jc w:val="center"/>
        <w:rPr>
          <w:rFonts w:ascii="Century Gothic" w:hAnsi="Century Gothic" w:cs="Century Gothic"/>
          <w:sz w:val="20"/>
          <w:szCs w:val="20"/>
          <w:lang w:val="el-GR"/>
        </w:rPr>
      </w:pPr>
      <w:r>
        <w:rPr>
          <w:rFonts w:ascii="Century Gothic" w:hAnsi="Century Gothic" w:cs="Century Gothic"/>
          <w:sz w:val="20"/>
          <w:szCs w:val="20"/>
          <w:lang w:val="el-GR"/>
        </w:rPr>
        <w:t>Τηλέφωνο:</w:t>
      </w:r>
      <w:r w:rsidR="00BD4664">
        <w:rPr>
          <w:rFonts w:ascii="Century Gothic" w:hAnsi="Century Gothic" w:cs="Century Gothic"/>
          <w:sz w:val="20"/>
          <w:szCs w:val="20"/>
          <w:lang w:val="el-GR"/>
        </w:rPr>
        <w:t xml:space="preserve"> </w:t>
      </w:r>
      <w:r w:rsidR="00913F1F">
        <w:rPr>
          <w:rFonts w:ascii="Century Gothic" w:hAnsi="Century Gothic" w:cs="Century Gothic"/>
          <w:sz w:val="20"/>
          <w:szCs w:val="20"/>
          <w:lang w:val="el-GR"/>
        </w:rPr>
        <w:t>6982851208</w:t>
      </w:r>
    </w:p>
    <w:p w14:paraId="3F5747B8" w14:textId="77777777" w:rsidR="004540B8" w:rsidRDefault="004540B8" w:rsidP="004540B8">
      <w:pPr>
        <w:jc w:val="center"/>
        <w:rPr>
          <w:rFonts w:ascii="Century Gothic" w:hAnsi="Century Gothic" w:cs="Century Gothic"/>
          <w:sz w:val="20"/>
          <w:szCs w:val="20"/>
          <w:lang w:val="el-GR"/>
        </w:rPr>
      </w:pPr>
    </w:p>
    <w:p w14:paraId="0CC16A65" w14:textId="6DF3DC4C" w:rsidR="00BD4664" w:rsidRPr="004540B8" w:rsidRDefault="00BD4664" w:rsidP="004540B8">
      <w:pPr>
        <w:jc w:val="center"/>
        <w:rPr>
          <w:rFonts w:ascii="Century Gothic" w:hAnsi="Century Gothic" w:cs="Century Gothic"/>
          <w:sz w:val="20"/>
          <w:szCs w:val="20"/>
          <w:lang w:val="el-GR"/>
        </w:rPr>
      </w:pPr>
      <w:r>
        <w:rPr>
          <w:rFonts w:ascii="Century Gothic" w:hAnsi="Century Gothic" w:cs="Century Gothic"/>
          <w:sz w:val="20"/>
          <w:szCs w:val="20"/>
          <w:lang w:val="el-GR"/>
        </w:rPr>
        <w:t xml:space="preserve">                         </w:t>
      </w:r>
    </w:p>
    <w:p w14:paraId="2DB7AD49" w14:textId="43E39469" w:rsidR="00A10E8E" w:rsidRPr="000819EA" w:rsidRDefault="00136595">
      <w:pPr>
        <w:widowControl/>
        <w:spacing w:after="120" w:line="360" w:lineRule="auto"/>
        <w:jc w:val="center"/>
        <w:rPr>
          <w:rFonts w:ascii="Times New Roman" w:hAnsi="Times New Roman" w:cs="Times New Roman"/>
          <w:b/>
          <w:color w:val="000000" w:themeColor="text1"/>
          <w:sz w:val="28"/>
          <w:szCs w:val="28"/>
          <w:lang w:val="el-GR"/>
        </w:rPr>
      </w:pPr>
      <w:r w:rsidRPr="000819EA">
        <w:rPr>
          <w:rFonts w:ascii="Times New Roman" w:hAnsi="Times New Roman" w:cs="Times New Roman"/>
          <w:b/>
          <w:color w:val="000000" w:themeColor="text1"/>
          <w:sz w:val="24"/>
          <w:szCs w:val="24"/>
          <w:lang w:val="el-GR"/>
        </w:rPr>
        <w:t>ΥΠΟΜΝΗΜΑ</w:t>
      </w:r>
    </w:p>
    <w:p w14:paraId="7A7F91E6" w14:textId="25246E6C" w:rsidR="00A10E8E" w:rsidRPr="000819EA" w:rsidRDefault="00136595">
      <w:pPr>
        <w:widowControl/>
        <w:spacing w:after="120" w:line="360" w:lineRule="auto"/>
        <w:jc w:val="center"/>
        <w:rPr>
          <w:rFonts w:ascii="Times New Roman" w:hAnsi="Times New Roman" w:cs="Times New Roman"/>
          <w:color w:val="000000" w:themeColor="text1"/>
          <w:sz w:val="24"/>
          <w:szCs w:val="24"/>
          <w:lang w:val="el-GR"/>
        </w:rPr>
      </w:pPr>
      <w:r w:rsidRPr="000819EA">
        <w:rPr>
          <w:rFonts w:ascii="Times New Roman" w:hAnsi="Times New Roman" w:cs="Times New Roman"/>
          <w:b/>
          <w:color w:val="000000" w:themeColor="text1"/>
          <w:sz w:val="28"/>
          <w:szCs w:val="28"/>
          <w:lang w:val="el-GR"/>
        </w:rPr>
        <w:t xml:space="preserve">Του Συλλόγου Αποφοίτων </w:t>
      </w:r>
      <w:r w:rsidR="007A71BF">
        <w:rPr>
          <w:rFonts w:ascii="Times New Roman" w:hAnsi="Times New Roman" w:cs="Times New Roman"/>
          <w:b/>
          <w:color w:val="000000" w:themeColor="text1"/>
          <w:sz w:val="28"/>
          <w:szCs w:val="28"/>
          <w:lang w:val="el-GR"/>
        </w:rPr>
        <w:t xml:space="preserve">Τμήματος Τοπικής Αυτοδιοίκησης </w:t>
      </w:r>
      <w:r w:rsidR="006F562E">
        <w:rPr>
          <w:rFonts w:ascii="Times New Roman" w:hAnsi="Times New Roman" w:cs="Times New Roman"/>
          <w:b/>
          <w:color w:val="000000" w:themeColor="text1"/>
          <w:sz w:val="28"/>
          <w:szCs w:val="28"/>
          <w:lang w:val="el-GR"/>
        </w:rPr>
        <w:br/>
      </w:r>
      <w:r w:rsidR="007A71BF">
        <w:rPr>
          <w:rFonts w:ascii="Times New Roman" w:hAnsi="Times New Roman" w:cs="Times New Roman"/>
          <w:b/>
          <w:color w:val="000000" w:themeColor="text1"/>
          <w:sz w:val="28"/>
          <w:szCs w:val="28"/>
          <w:lang w:val="el-GR"/>
        </w:rPr>
        <w:t>Τ</w:t>
      </w:r>
      <w:r w:rsidR="001F673F">
        <w:rPr>
          <w:rFonts w:ascii="Times New Roman" w:hAnsi="Times New Roman" w:cs="Times New Roman"/>
          <w:b/>
          <w:color w:val="000000" w:themeColor="text1"/>
          <w:sz w:val="28"/>
          <w:szCs w:val="28"/>
          <w:lang w:val="el-GR"/>
        </w:rPr>
        <w:t>εχνολογικού Εκπαιδευτικού Ιδρύματος</w:t>
      </w:r>
      <w:r w:rsidR="007A71BF">
        <w:rPr>
          <w:rFonts w:ascii="Times New Roman" w:hAnsi="Times New Roman" w:cs="Times New Roman"/>
          <w:b/>
          <w:color w:val="000000" w:themeColor="text1"/>
          <w:sz w:val="28"/>
          <w:szCs w:val="28"/>
          <w:lang w:val="el-GR"/>
        </w:rPr>
        <w:t xml:space="preserve"> Καλαμάτας </w:t>
      </w:r>
      <w:r w:rsidR="006F562E">
        <w:rPr>
          <w:rFonts w:ascii="Times New Roman" w:hAnsi="Times New Roman" w:cs="Times New Roman"/>
          <w:b/>
          <w:color w:val="000000" w:themeColor="text1"/>
          <w:sz w:val="28"/>
          <w:szCs w:val="28"/>
          <w:lang w:val="el-GR"/>
        </w:rPr>
        <w:t>– Πελοποννήσου</w:t>
      </w:r>
      <w:r w:rsidRPr="000819EA">
        <w:rPr>
          <w:rFonts w:ascii="Times New Roman" w:hAnsi="Times New Roman" w:cs="Times New Roman"/>
          <w:b/>
          <w:color w:val="000000" w:themeColor="text1"/>
          <w:sz w:val="28"/>
          <w:szCs w:val="28"/>
          <w:lang w:val="el-GR"/>
        </w:rPr>
        <w:t xml:space="preserve"> </w:t>
      </w:r>
    </w:p>
    <w:p w14:paraId="0B0D103B" w14:textId="77777777" w:rsidR="00A10E8E" w:rsidRPr="000819EA" w:rsidRDefault="00136595">
      <w:pPr>
        <w:widowControl/>
        <w:spacing w:line="360" w:lineRule="auto"/>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w:t>
      </w:r>
    </w:p>
    <w:p w14:paraId="0F345BA9" w14:textId="77777777" w:rsidR="00A10E8E" w:rsidRPr="000819EA" w:rsidRDefault="00A10E8E">
      <w:pPr>
        <w:widowControl/>
        <w:spacing w:line="360" w:lineRule="auto"/>
        <w:jc w:val="both"/>
        <w:rPr>
          <w:rFonts w:ascii="Times New Roman" w:hAnsi="Times New Roman" w:cs="Times New Roman"/>
          <w:color w:val="000000" w:themeColor="text1"/>
          <w:sz w:val="24"/>
          <w:szCs w:val="24"/>
          <w:lang w:val="el-GR"/>
        </w:rPr>
      </w:pPr>
    </w:p>
    <w:p w14:paraId="66AD2D05" w14:textId="3B334523" w:rsidR="00A10E8E" w:rsidRPr="000819EA" w:rsidRDefault="001F6F94">
      <w:pPr>
        <w:widowControl/>
        <w:spacing w:line="360" w:lineRule="auto"/>
        <w:jc w:val="both"/>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Αξιότιμοι</w:t>
      </w:r>
      <w:r w:rsidR="00136595" w:rsidRPr="000819EA">
        <w:rPr>
          <w:rFonts w:ascii="Times New Roman" w:hAnsi="Times New Roman" w:cs="Times New Roman"/>
          <w:color w:val="000000" w:themeColor="text1"/>
          <w:sz w:val="24"/>
          <w:szCs w:val="24"/>
          <w:lang w:val="el-GR"/>
        </w:rPr>
        <w:t xml:space="preserve"> κύριοι/ες,</w:t>
      </w:r>
    </w:p>
    <w:p w14:paraId="1CA515B9" w14:textId="77777777" w:rsidR="00A10E8E" w:rsidRPr="000819EA" w:rsidRDefault="00A10E8E">
      <w:pPr>
        <w:widowControl/>
        <w:spacing w:line="360" w:lineRule="auto"/>
        <w:jc w:val="both"/>
        <w:rPr>
          <w:rFonts w:ascii="Times New Roman" w:hAnsi="Times New Roman" w:cs="Times New Roman"/>
          <w:color w:val="000000" w:themeColor="text1"/>
          <w:sz w:val="24"/>
          <w:szCs w:val="24"/>
          <w:lang w:val="el-GR"/>
        </w:rPr>
      </w:pPr>
    </w:p>
    <w:p w14:paraId="7718F378" w14:textId="1B9A9A4F" w:rsidR="006F562E" w:rsidRDefault="00136595">
      <w:pPr>
        <w:widowControl/>
        <w:spacing w:line="360" w:lineRule="auto"/>
        <w:ind w:firstLine="720"/>
        <w:jc w:val="both"/>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 xml:space="preserve">Είμαστε απόφοιτοι του πρώην Ανώτατου Τεχνολογικού Εκπαιδευτικού Ιδρύματος </w:t>
      </w:r>
      <w:r w:rsidR="006F562E">
        <w:rPr>
          <w:rFonts w:ascii="Times New Roman" w:hAnsi="Times New Roman" w:cs="Times New Roman"/>
          <w:color w:val="000000" w:themeColor="text1"/>
          <w:sz w:val="24"/>
          <w:szCs w:val="24"/>
          <w:lang w:val="el-GR"/>
        </w:rPr>
        <w:t>Πελοποννήσου της σχολής διοίκησης και οικονομίας και συγκεκριμένα του τμήματος διοίκησης επιχειρήσεων και οργανισμών κατεύθυνσης τοπικής αυτοδιοίκησης</w:t>
      </w:r>
      <w:r w:rsidR="006D39AC">
        <w:rPr>
          <w:rFonts w:ascii="Times New Roman" w:hAnsi="Times New Roman" w:cs="Times New Roman"/>
          <w:color w:val="000000" w:themeColor="text1"/>
          <w:sz w:val="24"/>
          <w:szCs w:val="24"/>
          <w:lang w:val="el-GR"/>
        </w:rPr>
        <w:t xml:space="preserve"> (πρώην Τ.Ε.Ι. Καλαμάτας τμήματος τοπικής αυτοδιοίκησης)</w:t>
      </w:r>
      <w:r w:rsidR="006F562E">
        <w:rPr>
          <w:rFonts w:ascii="Times New Roman" w:hAnsi="Times New Roman" w:cs="Times New Roman"/>
          <w:color w:val="000000" w:themeColor="text1"/>
          <w:sz w:val="24"/>
          <w:szCs w:val="24"/>
          <w:lang w:val="el-GR"/>
        </w:rPr>
        <w:t>.</w:t>
      </w:r>
    </w:p>
    <w:p w14:paraId="043F2C2F" w14:textId="4693C2A3" w:rsidR="00A10E8E" w:rsidRPr="000819EA" w:rsidRDefault="006D39AC" w:rsidP="000B6DD4">
      <w:pPr>
        <w:widowControl/>
        <w:spacing w:line="360" w:lineRule="auto"/>
        <w:ind w:firstLine="720"/>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Μ</w:t>
      </w:r>
      <w:r w:rsidR="00136595" w:rsidRPr="000819EA">
        <w:rPr>
          <w:rFonts w:ascii="Times New Roman" w:hAnsi="Times New Roman" w:cs="Times New Roman"/>
          <w:color w:val="000000" w:themeColor="text1"/>
          <w:sz w:val="24"/>
          <w:szCs w:val="24"/>
          <w:lang w:val="el-GR"/>
        </w:rPr>
        <w:t xml:space="preserve">ε την ισχύ του Ν. 4610/2019 </w:t>
      </w:r>
      <w:r w:rsidR="00136595" w:rsidRPr="000819EA">
        <w:rPr>
          <w:rFonts w:ascii="Times New Roman" w:hAnsi="Times New Roman" w:cs="Times New Roman"/>
          <w:i/>
          <w:iCs/>
          <w:color w:val="000000" w:themeColor="text1"/>
          <w:sz w:val="24"/>
          <w:szCs w:val="24"/>
          <w:lang w:val="el-GR"/>
        </w:rPr>
        <w:t>«Συνέργειες Πανεπιστήμιών και Τ.Ε.Ι., πρόσβαση στην τριτοβάθμια εκπαίδευση, πειραματικά σχολεία, Γενικά Αρχεία του Κράτους και λοιπές διατάξεις</w:t>
      </w:r>
      <w:r w:rsidR="00136595" w:rsidRPr="000819EA">
        <w:rPr>
          <w:rFonts w:ascii="Times New Roman" w:hAnsi="Times New Roman" w:cs="Times New Roman"/>
          <w:color w:val="000000" w:themeColor="text1"/>
          <w:sz w:val="24"/>
          <w:szCs w:val="24"/>
          <w:lang w:val="el-GR"/>
        </w:rPr>
        <w:t xml:space="preserve">» </w:t>
      </w:r>
      <w:r>
        <w:rPr>
          <w:rFonts w:ascii="Times New Roman" w:hAnsi="Times New Roman" w:cs="Times New Roman"/>
          <w:color w:val="000000" w:themeColor="text1"/>
          <w:sz w:val="24"/>
          <w:szCs w:val="24"/>
          <w:lang w:val="el-GR"/>
        </w:rPr>
        <w:t xml:space="preserve">το Τ.Ε.Ι. Πελοποννήσου καταργήθηκε και ενσωματώθηκε στο </w:t>
      </w:r>
      <w:r w:rsidR="00136595" w:rsidRPr="000819EA">
        <w:rPr>
          <w:rFonts w:ascii="Times New Roman" w:hAnsi="Times New Roman" w:cs="Times New Roman"/>
          <w:color w:val="000000" w:themeColor="text1"/>
          <w:sz w:val="24"/>
          <w:szCs w:val="24"/>
          <w:lang w:val="el-GR"/>
        </w:rPr>
        <w:t>«</w:t>
      </w:r>
      <w:r>
        <w:rPr>
          <w:rFonts w:ascii="Times New Roman" w:hAnsi="Times New Roman" w:cs="Times New Roman"/>
          <w:color w:val="000000" w:themeColor="text1"/>
          <w:sz w:val="24"/>
          <w:szCs w:val="24"/>
          <w:lang w:val="el-GR"/>
        </w:rPr>
        <w:t>Πανεπιστήμιο Πελοποννήσου</w:t>
      </w:r>
      <w:r w:rsidR="00136595" w:rsidRPr="000819EA">
        <w:rPr>
          <w:rFonts w:ascii="Times New Roman" w:hAnsi="Times New Roman" w:cs="Times New Roman"/>
          <w:color w:val="000000" w:themeColor="text1"/>
          <w:sz w:val="24"/>
          <w:szCs w:val="24"/>
          <w:lang w:val="el-GR"/>
        </w:rPr>
        <w:t>»</w:t>
      </w:r>
      <w:r>
        <w:rPr>
          <w:rFonts w:ascii="Times New Roman" w:hAnsi="Times New Roman" w:cs="Times New Roman"/>
          <w:color w:val="000000" w:themeColor="text1"/>
          <w:sz w:val="24"/>
          <w:szCs w:val="24"/>
          <w:lang w:val="el-GR"/>
        </w:rPr>
        <w:t xml:space="preserve">. Συγκεκριμένα, το τμήμα απ’ το οποίο προερχόμαστε </w:t>
      </w:r>
      <w:r w:rsidR="000B6DD4">
        <w:rPr>
          <w:rFonts w:ascii="Times New Roman" w:hAnsi="Times New Roman" w:cs="Times New Roman"/>
          <w:color w:val="000000" w:themeColor="text1"/>
          <w:sz w:val="24"/>
          <w:szCs w:val="24"/>
          <w:lang w:val="el-GR"/>
        </w:rPr>
        <w:t>ενσωματώθηκε στο τμήμα διοίκησης επιχειρήσεων και οργανισμών του Πανεπιστημίου Πελοποννήσου</w:t>
      </w:r>
      <w:r w:rsidR="00136595" w:rsidRPr="000819EA">
        <w:rPr>
          <w:rFonts w:ascii="Times New Roman" w:hAnsi="Times New Roman" w:cs="Times New Roman"/>
          <w:color w:val="000000" w:themeColor="text1"/>
          <w:sz w:val="24"/>
          <w:szCs w:val="24"/>
          <w:lang w:val="el-GR"/>
        </w:rPr>
        <w:t xml:space="preserve"> </w:t>
      </w:r>
      <w:r w:rsidR="000B6DD4">
        <w:rPr>
          <w:rFonts w:ascii="Times New Roman" w:hAnsi="Times New Roman" w:cs="Times New Roman"/>
          <w:color w:val="000000" w:themeColor="text1"/>
          <w:sz w:val="24"/>
          <w:szCs w:val="24"/>
          <w:lang w:val="el-GR"/>
        </w:rPr>
        <w:t>το οποίο απονέμει</w:t>
      </w:r>
      <w:r w:rsidR="00136595" w:rsidRPr="000819EA">
        <w:rPr>
          <w:rFonts w:ascii="Times New Roman" w:hAnsi="Times New Roman" w:cs="Times New Roman"/>
          <w:color w:val="000000" w:themeColor="text1"/>
          <w:sz w:val="24"/>
          <w:szCs w:val="24"/>
          <w:lang w:val="el-GR"/>
        </w:rPr>
        <w:t xml:space="preserve"> πτυχία τα οποία ανήκουν στον Πανεπιστημιακό τομέα της Ανώτατης Εκπαίδευσης, όπως αυτός ορίζεται στο άρθ. 2 παρ. 2α του Ν. 4485/2017. Συγχρόνως, είμαστε μέλη</w:t>
      </w:r>
      <w:r w:rsidR="00E12EBD">
        <w:rPr>
          <w:rFonts w:ascii="Times New Roman" w:hAnsi="Times New Roman" w:cs="Times New Roman"/>
          <w:color w:val="000000" w:themeColor="text1"/>
          <w:sz w:val="24"/>
          <w:szCs w:val="24"/>
          <w:lang w:val="el-GR"/>
        </w:rPr>
        <w:t xml:space="preserve"> του Δ</w:t>
      </w:r>
      <w:r w:rsidR="00136595" w:rsidRPr="000819EA">
        <w:rPr>
          <w:rFonts w:ascii="Times New Roman" w:hAnsi="Times New Roman" w:cs="Times New Roman"/>
          <w:color w:val="000000" w:themeColor="text1"/>
          <w:sz w:val="24"/>
          <w:szCs w:val="24"/>
          <w:lang w:val="el-GR"/>
        </w:rPr>
        <w:t xml:space="preserve">ιοικητικού Συμβουλίου του Συλλόγου </w:t>
      </w:r>
      <w:r w:rsidR="000B6DD4" w:rsidRPr="000B6DD4">
        <w:rPr>
          <w:rFonts w:ascii="Times New Roman" w:hAnsi="Times New Roman" w:cs="Times New Roman"/>
          <w:color w:val="000000" w:themeColor="text1"/>
          <w:sz w:val="24"/>
          <w:szCs w:val="24"/>
          <w:lang w:val="el-GR"/>
        </w:rPr>
        <w:t>Αποφοίτων Τμήματος Τοπικής Αυτοδιοίκησης Τ.Ε.Ι. Καλαμάτας – Πελοποννήσου</w:t>
      </w:r>
      <w:r w:rsidR="00136595" w:rsidRPr="000819EA">
        <w:rPr>
          <w:rFonts w:ascii="Times New Roman" w:hAnsi="Times New Roman" w:cs="Times New Roman"/>
          <w:color w:val="000000" w:themeColor="text1"/>
          <w:sz w:val="24"/>
          <w:szCs w:val="24"/>
          <w:lang w:val="el-GR"/>
        </w:rPr>
        <w:t xml:space="preserve">. </w:t>
      </w:r>
    </w:p>
    <w:p w14:paraId="068EAF9D" w14:textId="30763871" w:rsidR="00A10E8E" w:rsidRPr="000819EA" w:rsidRDefault="00EC4C78">
      <w:pPr>
        <w:widowControl/>
        <w:spacing w:line="360" w:lineRule="auto"/>
        <w:ind w:firstLine="720"/>
        <w:jc w:val="both"/>
        <w:rPr>
          <w:rFonts w:ascii="Times New Roman" w:hAnsi="Times New Roman" w:cs="Times New Roman"/>
          <w:b/>
          <w:color w:val="000000" w:themeColor="text1"/>
          <w:sz w:val="24"/>
          <w:szCs w:val="24"/>
          <w:lang w:val="el-GR"/>
        </w:rPr>
      </w:pPr>
      <w:r>
        <w:rPr>
          <w:rFonts w:ascii="Times New Roman" w:hAnsi="Times New Roman" w:cs="Times New Roman"/>
          <w:color w:val="000000" w:themeColor="text1"/>
          <w:sz w:val="24"/>
          <w:szCs w:val="24"/>
          <w:lang w:val="el-GR"/>
        </w:rPr>
        <w:t>Σύμφωνα με στοιχεία της ΕΛΣΤΑΤ, ο</w:t>
      </w:r>
      <w:r w:rsidR="00136595" w:rsidRPr="000819EA">
        <w:rPr>
          <w:rFonts w:ascii="Times New Roman" w:hAnsi="Times New Roman" w:cs="Times New Roman"/>
          <w:color w:val="000000" w:themeColor="text1"/>
          <w:sz w:val="24"/>
          <w:szCs w:val="24"/>
          <w:lang w:val="el-GR"/>
        </w:rPr>
        <w:t xml:space="preserve">ι απόφοιτοι του εν λόγω Α.Ε.Ι. Τ.Τ., ανέρχονται περίπου </w:t>
      </w:r>
      <w:r w:rsidR="005D3A33">
        <w:rPr>
          <w:rFonts w:ascii="Times New Roman" w:hAnsi="Times New Roman" w:cs="Times New Roman"/>
          <w:color w:val="000000" w:themeColor="text1"/>
          <w:sz w:val="24"/>
          <w:szCs w:val="24"/>
          <w:lang w:val="el-GR"/>
        </w:rPr>
        <w:t xml:space="preserve">στους </w:t>
      </w:r>
      <w:r w:rsidR="007F0B74">
        <w:rPr>
          <w:rFonts w:ascii="Times New Roman" w:hAnsi="Times New Roman" w:cs="Times New Roman"/>
          <w:color w:val="000000" w:themeColor="text1"/>
          <w:sz w:val="24"/>
          <w:szCs w:val="24"/>
          <w:lang w:val="el-GR"/>
        </w:rPr>
        <w:t>8211</w:t>
      </w:r>
      <w:r w:rsidR="005D3A33">
        <w:rPr>
          <w:rFonts w:ascii="Times New Roman" w:hAnsi="Times New Roman" w:cs="Times New Roman"/>
          <w:color w:val="000000" w:themeColor="text1"/>
          <w:sz w:val="24"/>
          <w:szCs w:val="24"/>
          <w:lang w:val="el-GR"/>
        </w:rPr>
        <w:t xml:space="preserve"> ενώ του τμήματος τοπικής αυτοδιοίκησης σε </w:t>
      </w:r>
      <w:r w:rsidR="007F0B74">
        <w:rPr>
          <w:rFonts w:ascii="Times New Roman" w:hAnsi="Times New Roman" w:cs="Times New Roman"/>
          <w:color w:val="000000" w:themeColor="text1"/>
          <w:sz w:val="24"/>
          <w:szCs w:val="24"/>
          <w:lang w:val="el-GR"/>
        </w:rPr>
        <w:t>1750</w:t>
      </w:r>
      <w:r w:rsidR="005D3A33">
        <w:rPr>
          <w:rFonts w:ascii="Times New Roman" w:hAnsi="Times New Roman" w:cs="Times New Roman"/>
          <w:color w:val="000000" w:themeColor="text1"/>
          <w:sz w:val="24"/>
          <w:szCs w:val="24"/>
          <w:lang w:val="el-GR"/>
        </w:rPr>
        <w:t xml:space="preserve">. </w:t>
      </w:r>
      <w:r w:rsidR="00136595" w:rsidRPr="000819EA">
        <w:rPr>
          <w:rFonts w:ascii="Times New Roman" w:hAnsi="Times New Roman" w:cs="Times New Roman"/>
          <w:color w:val="000000" w:themeColor="text1"/>
          <w:sz w:val="24"/>
          <w:szCs w:val="24"/>
          <w:lang w:val="el-GR"/>
        </w:rPr>
        <w:t xml:space="preserve"> </w:t>
      </w:r>
      <w:r>
        <w:rPr>
          <w:rFonts w:ascii="Times New Roman" w:hAnsi="Times New Roman" w:cs="Times New Roman"/>
          <w:color w:val="000000" w:themeColor="text1"/>
          <w:sz w:val="24"/>
          <w:szCs w:val="24"/>
          <w:lang w:val="el-GR"/>
        </w:rPr>
        <w:t>Συνολικά</w:t>
      </w:r>
      <w:r w:rsidR="00136595" w:rsidRPr="000819EA">
        <w:rPr>
          <w:rFonts w:ascii="Times New Roman" w:hAnsi="Times New Roman" w:cs="Times New Roman"/>
          <w:color w:val="000000" w:themeColor="text1"/>
          <w:sz w:val="24"/>
          <w:szCs w:val="24"/>
          <w:lang w:val="el-GR"/>
        </w:rPr>
        <w:t xml:space="preserve"> οι απόφοιτοι </w:t>
      </w:r>
      <w:r>
        <w:rPr>
          <w:rFonts w:ascii="Times New Roman" w:hAnsi="Times New Roman" w:cs="Times New Roman"/>
          <w:color w:val="000000" w:themeColor="text1"/>
          <w:sz w:val="24"/>
          <w:szCs w:val="24"/>
          <w:lang w:val="el-GR"/>
        </w:rPr>
        <w:t xml:space="preserve">όλων </w:t>
      </w:r>
      <w:r w:rsidR="00136595" w:rsidRPr="000819EA">
        <w:rPr>
          <w:rFonts w:ascii="Times New Roman" w:hAnsi="Times New Roman" w:cs="Times New Roman"/>
          <w:color w:val="000000" w:themeColor="text1"/>
          <w:sz w:val="24"/>
          <w:szCs w:val="24"/>
          <w:lang w:val="el-GR"/>
        </w:rPr>
        <w:t>των Α.Ε.Ι. Τ.Τ.</w:t>
      </w:r>
      <w:r>
        <w:rPr>
          <w:rFonts w:ascii="Times New Roman" w:hAnsi="Times New Roman" w:cs="Times New Roman"/>
          <w:color w:val="000000" w:themeColor="text1"/>
          <w:sz w:val="24"/>
          <w:szCs w:val="24"/>
          <w:lang w:val="el-GR"/>
        </w:rPr>
        <w:t xml:space="preserve"> (Τ.Ε.Ι.)</w:t>
      </w:r>
      <w:r w:rsidR="00136595" w:rsidRPr="000819EA">
        <w:rPr>
          <w:rFonts w:ascii="Times New Roman" w:hAnsi="Times New Roman" w:cs="Times New Roman"/>
          <w:color w:val="000000" w:themeColor="text1"/>
          <w:sz w:val="24"/>
          <w:szCs w:val="24"/>
          <w:lang w:val="el-GR"/>
        </w:rPr>
        <w:t xml:space="preserve"> της </w:t>
      </w:r>
      <w:r>
        <w:rPr>
          <w:rFonts w:ascii="Times New Roman" w:hAnsi="Times New Roman" w:cs="Times New Roman"/>
          <w:color w:val="000000" w:themeColor="text1"/>
          <w:sz w:val="24"/>
          <w:szCs w:val="24"/>
          <w:lang w:val="el-GR"/>
        </w:rPr>
        <w:t>επικράτειας</w:t>
      </w:r>
      <w:r w:rsidR="00136595" w:rsidRPr="000819EA">
        <w:rPr>
          <w:rFonts w:ascii="Times New Roman" w:hAnsi="Times New Roman" w:cs="Times New Roman"/>
          <w:color w:val="000000" w:themeColor="text1"/>
          <w:sz w:val="24"/>
          <w:szCs w:val="24"/>
          <w:lang w:val="el-GR"/>
        </w:rPr>
        <w:t>, από το 200</w:t>
      </w:r>
      <w:r>
        <w:rPr>
          <w:rFonts w:ascii="Times New Roman" w:hAnsi="Times New Roman" w:cs="Times New Roman"/>
          <w:color w:val="000000" w:themeColor="text1"/>
          <w:sz w:val="24"/>
          <w:szCs w:val="24"/>
          <w:lang w:val="el-GR"/>
        </w:rPr>
        <w:t>0</w:t>
      </w:r>
      <w:r w:rsidR="00136595" w:rsidRPr="000819EA">
        <w:rPr>
          <w:rFonts w:ascii="Times New Roman" w:hAnsi="Times New Roman" w:cs="Times New Roman"/>
          <w:color w:val="000000" w:themeColor="text1"/>
          <w:sz w:val="24"/>
          <w:szCs w:val="24"/>
          <w:lang w:val="el-GR"/>
        </w:rPr>
        <w:t xml:space="preserve"> έως το </w:t>
      </w:r>
      <w:r w:rsidR="00136595" w:rsidRPr="000819EA">
        <w:rPr>
          <w:rFonts w:ascii="Times New Roman" w:hAnsi="Times New Roman" w:cs="Times New Roman"/>
          <w:color w:val="000000" w:themeColor="text1"/>
          <w:sz w:val="24"/>
          <w:szCs w:val="24"/>
          <w:lang w:val="el-GR"/>
        </w:rPr>
        <w:lastRenderedPageBreak/>
        <w:t>2016 ανέρχονται στους 269,000.  Σύμφωνα με τον μέσο αριθμό αποφοίτησης ανά έτος από τα στοιχεία της ΕΛΣΤΑΤ, ο συνολικός αριθμός των αποφοίτων όλων των Α.Ε.Ι. Τ.Τ., από ιδρύσεώς τους, εκτιμάται άνω των 400.000.</w:t>
      </w:r>
    </w:p>
    <w:p w14:paraId="6CA45528" w14:textId="77777777" w:rsidR="00A10E8E" w:rsidRPr="000819EA" w:rsidRDefault="00136595">
      <w:pPr>
        <w:widowControl/>
        <w:spacing w:line="360" w:lineRule="auto"/>
        <w:ind w:firstLine="720"/>
        <w:jc w:val="both"/>
        <w:rPr>
          <w:rFonts w:ascii="Times New Roman" w:hAnsi="Times New Roman" w:cs="Times New Roman"/>
          <w:color w:val="000000" w:themeColor="text1"/>
          <w:sz w:val="24"/>
          <w:szCs w:val="24"/>
          <w:lang w:val="el-GR"/>
        </w:rPr>
      </w:pPr>
      <w:r w:rsidRPr="000819EA">
        <w:rPr>
          <w:rFonts w:ascii="Times New Roman" w:hAnsi="Times New Roman" w:cs="Times New Roman"/>
          <w:b/>
          <w:color w:val="000000" w:themeColor="text1"/>
          <w:sz w:val="24"/>
          <w:szCs w:val="24"/>
          <w:lang w:val="el-GR"/>
        </w:rPr>
        <w:t xml:space="preserve">Επειδή </w:t>
      </w:r>
      <w:r w:rsidRPr="000819EA">
        <w:rPr>
          <w:rFonts w:ascii="Times New Roman" w:hAnsi="Times New Roman" w:cs="Times New Roman"/>
          <w:color w:val="000000" w:themeColor="text1"/>
          <w:sz w:val="24"/>
          <w:szCs w:val="24"/>
          <w:lang w:val="el-GR"/>
        </w:rPr>
        <w:t xml:space="preserve">στο παρελθόν σε ανάλογες περιπτώσεις «μετεξέλιξης ή πανεπιστημιοποίησης» εκπαιδευτικών ιδρυμάτων προβλέφθηκε η ισοτιμία και αντιστοίχιση των παλαιών πτυχίων με τα νέα πανεπιστημιακά, όπως λ.χ.: </w:t>
      </w:r>
    </w:p>
    <w:p w14:paraId="67A9BA8B" w14:textId="77777777" w:rsidR="00A10E8E" w:rsidRPr="000819EA" w:rsidRDefault="00136595">
      <w:pPr>
        <w:pStyle w:val="12"/>
        <w:widowControl/>
        <w:numPr>
          <w:ilvl w:val="0"/>
          <w:numId w:val="7"/>
        </w:numPr>
        <w:shd w:val="clear" w:color="auto" w:fill="FFFFFF"/>
        <w:spacing w:line="360" w:lineRule="auto"/>
        <w:jc w:val="both"/>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 xml:space="preserve">με το Ν. 1865/1989, προβλέφθηκε η διαδικασίας μετατροπής των πτυχίων Κ.Α.Τ.Ε.Ε. σε Τ.Ε.Ι.. </w:t>
      </w:r>
    </w:p>
    <w:p w14:paraId="75664ABF" w14:textId="77777777" w:rsidR="00A10E8E" w:rsidRPr="000819EA" w:rsidRDefault="00136595">
      <w:pPr>
        <w:pStyle w:val="12"/>
        <w:widowControl/>
        <w:numPr>
          <w:ilvl w:val="0"/>
          <w:numId w:val="7"/>
        </w:numPr>
        <w:shd w:val="clear" w:color="auto" w:fill="FFFFFF"/>
        <w:spacing w:line="360" w:lineRule="auto"/>
        <w:jc w:val="both"/>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 xml:space="preserve">η περίπτωση της </w:t>
      </w:r>
      <w:r w:rsidRPr="000819EA">
        <w:rPr>
          <w:rFonts w:ascii="Times New Roman" w:hAnsi="Times New Roman" w:cs="Times New Roman"/>
          <w:color w:val="000000" w:themeColor="text1"/>
          <w:spacing w:val="6"/>
          <w:sz w:val="24"/>
          <w:szCs w:val="24"/>
          <w:lang w:val="el-GR"/>
        </w:rPr>
        <w:t>Α.Σ.Ο.Ε.Ε. (Ανώτατης Σχολής Οικονομικών και Εμπορικών Επιστημών)</w:t>
      </w:r>
      <w:r w:rsidRPr="000819EA">
        <w:rPr>
          <w:rFonts w:ascii="Times New Roman" w:hAnsi="Times New Roman" w:cs="Times New Roman"/>
          <w:color w:val="000000" w:themeColor="text1"/>
          <w:sz w:val="24"/>
          <w:szCs w:val="24"/>
          <w:lang w:val="el-GR"/>
        </w:rPr>
        <w:t xml:space="preserve">, Ανώτατης Γεωπονικής Σχολής, Παντείου Σχολής Πολιτικών Επιστημών και </w:t>
      </w:r>
      <w:r w:rsidRPr="000819EA">
        <w:rPr>
          <w:rFonts w:ascii="Times New Roman" w:hAnsi="Times New Roman" w:cs="Times New Roman"/>
          <w:color w:val="000000" w:themeColor="text1"/>
          <w:spacing w:val="6"/>
          <w:sz w:val="24"/>
          <w:szCs w:val="24"/>
          <w:lang w:val="el-GR"/>
        </w:rPr>
        <w:t>Α.Β.Σ.Π. (Ανώτατης Βιομηχανικής Σχολής Πειραιώς)</w:t>
      </w:r>
      <w:r w:rsidRPr="000819EA">
        <w:rPr>
          <w:rFonts w:ascii="Times New Roman" w:hAnsi="Times New Roman" w:cs="Times New Roman"/>
          <w:color w:val="000000" w:themeColor="text1"/>
          <w:sz w:val="24"/>
          <w:szCs w:val="24"/>
          <w:lang w:val="el-GR"/>
        </w:rPr>
        <w:t>, για τις οποίες το π.δ. 377/1989 προέβλεψε την ισοτιμία και αντιστοίχιση των πτυχίων τους αντιστοίχως με τα νέα πτυχία του Οικονομικού Πανεπιστημίου Αθηνών, Γεωπονικού Πανεπιστημίου, Παντείου Πανεπιστημίου και του Πανεπιστημίου Πειραιώς.</w:t>
      </w:r>
    </w:p>
    <w:p w14:paraId="704E82EF" w14:textId="77777777" w:rsidR="00A10E8E" w:rsidRPr="000819EA" w:rsidRDefault="00136595">
      <w:pPr>
        <w:pStyle w:val="12"/>
        <w:widowControl/>
        <w:numPr>
          <w:ilvl w:val="0"/>
          <w:numId w:val="7"/>
        </w:numPr>
        <w:shd w:val="clear" w:color="auto" w:fill="FFFFFF"/>
        <w:spacing w:line="360" w:lineRule="auto"/>
        <w:jc w:val="both"/>
        <w:rPr>
          <w:rFonts w:ascii="Times New Roman" w:hAnsi="Times New Roman" w:cs="Times New Roman"/>
          <w:b/>
          <w:color w:val="000000" w:themeColor="text1"/>
          <w:sz w:val="24"/>
          <w:szCs w:val="24"/>
          <w:u w:val="single"/>
          <w:lang w:val="el-GR"/>
        </w:rPr>
      </w:pPr>
      <w:r w:rsidRPr="000819EA">
        <w:rPr>
          <w:rFonts w:ascii="Times New Roman" w:hAnsi="Times New Roman" w:cs="Times New Roman"/>
          <w:color w:val="000000" w:themeColor="text1"/>
          <w:sz w:val="24"/>
          <w:szCs w:val="24"/>
          <w:lang w:val="el-GR"/>
        </w:rPr>
        <w:t>καθώς και η περίπτωση των Εθνικών Ακαδημιών Σωματικής Αγωγής (</w:t>
      </w:r>
      <w:r w:rsidRPr="000819EA">
        <w:rPr>
          <w:rFonts w:ascii="Times New Roman" w:hAnsi="Times New Roman" w:cs="Times New Roman"/>
          <w:bCs/>
          <w:color w:val="000000" w:themeColor="text1"/>
          <w:sz w:val="24"/>
          <w:szCs w:val="24"/>
          <w:lang w:val="el-GR"/>
        </w:rPr>
        <w:t>ΕΑΣΑ</w:t>
      </w:r>
      <w:r w:rsidRPr="000819EA">
        <w:rPr>
          <w:rFonts w:ascii="Times New Roman" w:hAnsi="Times New Roman" w:cs="Times New Roman"/>
          <w:color w:val="000000" w:themeColor="text1"/>
          <w:sz w:val="24"/>
          <w:szCs w:val="24"/>
          <w:lang w:val="el-GR"/>
        </w:rPr>
        <w:t xml:space="preserve">) </w:t>
      </w:r>
      <w:r w:rsidRPr="000819EA">
        <w:rPr>
          <w:rFonts w:ascii="Times New Roman" w:hAnsi="Times New Roman" w:cs="Times New Roman"/>
          <w:color w:val="000000" w:themeColor="text1"/>
          <w:sz w:val="24"/>
          <w:szCs w:val="24"/>
          <w:u w:val="single"/>
          <w:lang w:val="el-GR"/>
        </w:rPr>
        <w:t xml:space="preserve">που λειτουργούσαν ως </w:t>
      </w:r>
      <w:r w:rsidRPr="000819EA">
        <w:rPr>
          <w:rFonts w:ascii="Times New Roman" w:hAnsi="Times New Roman" w:cs="Times New Roman"/>
          <w:b/>
          <w:color w:val="000000" w:themeColor="text1"/>
          <w:sz w:val="24"/>
          <w:szCs w:val="24"/>
          <w:u w:val="single"/>
          <w:lang w:val="el-GR"/>
        </w:rPr>
        <w:t>Ανώτερες Σχολές</w:t>
      </w:r>
      <w:r w:rsidRPr="000819EA">
        <w:rPr>
          <w:rFonts w:ascii="Times New Roman" w:hAnsi="Times New Roman" w:cs="Times New Roman"/>
          <w:color w:val="000000" w:themeColor="text1"/>
          <w:sz w:val="24"/>
          <w:szCs w:val="24"/>
          <w:u w:val="single"/>
          <w:lang w:val="el-GR"/>
        </w:rPr>
        <w:t xml:space="preserve"> εποπτευόμενες από την Διεύθυνση Φυσικής Αγωγής της Μέσης Εκπαίδευσης του Υπουργείου Παιδείας και Θρησκευμάτων, για τις οποίες προβλέφθηκε διαδικασία ισοτίμησης και αντιστοίχισης</w:t>
      </w:r>
      <w:r w:rsidRPr="000819EA">
        <w:rPr>
          <w:rFonts w:ascii="Times New Roman" w:hAnsi="Times New Roman" w:cs="Times New Roman"/>
          <w:color w:val="000000" w:themeColor="text1"/>
          <w:sz w:val="24"/>
          <w:szCs w:val="24"/>
          <w:lang w:val="el-GR"/>
        </w:rPr>
        <w:t xml:space="preserve"> των πτυχίων τους με τα νέα πτυχία των Τμημάτων Επιστήμης Φυσικής Αγωγής και Αθλητισμού (</w:t>
      </w:r>
      <w:r w:rsidRPr="000819EA">
        <w:rPr>
          <w:rFonts w:ascii="Times New Roman" w:hAnsi="Times New Roman" w:cs="Times New Roman"/>
          <w:bCs/>
          <w:color w:val="000000" w:themeColor="text1"/>
          <w:sz w:val="24"/>
          <w:szCs w:val="24"/>
          <w:lang w:val="el-GR"/>
        </w:rPr>
        <w:t>Τ.Ε.Φ.Α.Α.</w:t>
      </w:r>
      <w:r w:rsidRPr="000819EA">
        <w:rPr>
          <w:rFonts w:ascii="Times New Roman" w:hAnsi="Times New Roman" w:cs="Times New Roman"/>
          <w:color w:val="000000" w:themeColor="text1"/>
          <w:sz w:val="24"/>
          <w:szCs w:val="24"/>
          <w:lang w:val="el-GR"/>
        </w:rPr>
        <w:t xml:space="preserve">), δυνάμει της υπ’ αριθ. Β1/421/1986 (ΦΕΚ 344 Β’) που κυρώθηκε με το άρθρο 7 του Ν. 1674/1986. </w:t>
      </w:r>
    </w:p>
    <w:p w14:paraId="0F020D47" w14:textId="13CB4F6B" w:rsidR="00A10E8E" w:rsidRPr="000819EA" w:rsidRDefault="00136595" w:rsidP="000819EA">
      <w:pPr>
        <w:widowControl/>
        <w:shd w:val="clear" w:color="auto" w:fill="FFFFFF"/>
        <w:spacing w:line="360" w:lineRule="auto"/>
        <w:jc w:val="both"/>
        <w:rPr>
          <w:rFonts w:ascii="Times New Roman" w:eastAsia="Calibri" w:hAnsi="Times New Roman" w:cs="Times New Roman"/>
          <w:b/>
          <w:color w:val="000000" w:themeColor="text1"/>
          <w:sz w:val="24"/>
          <w:szCs w:val="24"/>
          <w:lang w:val="el-GR"/>
        </w:rPr>
      </w:pPr>
      <w:r w:rsidRPr="000819EA">
        <w:rPr>
          <w:rFonts w:ascii="Times New Roman" w:hAnsi="Times New Roman" w:cs="Times New Roman"/>
          <w:b/>
          <w:color w:val="000000" w:themeColor="text1"/>
          <w:sz w:val="24"/>
          <w:szCs w:val="24"/>
          <w:u w:val="single"/>
          <w:lang w:val="el-GR"/>
        </w:rPr>
        <w:t xml:space="preserve">Αδυνατούμε να καταλάβουμε για ποιον λόγο </w:t>
      </w:r>
      <w:r w:rsidR="001F20D2">
        <w:rPr>
          <w:rFonts w:ascii="Times New Roman" w:hAnsi="Times New Roman" w:cs="Times New Roman"/>
          <w:b/>
          <w:color w:val="000000" w:themeColor="text1"/>
          <w:sz w:val="24"/>
          <w:szCs w:val="24"/>
          <w:u w:val="single"/>
          <w:lang w:val="el-GR"/>
        </w:rPr>
        <w:t xml:space="preserve">εμείς </w:t>
      </w:r>
      <w:r w:rsidRPr="000819EA">
        <w:rPr>
          <w:rFonts w:ascii="Times New Roman" w:hAnsi="Times New Roman" w:cs="Times New Roman"/>
          <w:b/>
          <w:color w:val="000000" w:themeColor="text1"/>
          <w:sz w:val="24"/>
          <w:szCs w:val="24"/>
          <w:u w:val="single"/>
          <w:lang w:val="el-GR"/>
        </w:rPr>
        <w:t xml:space="preserve">οι απόφοιτοι του </w:t>
      </w:r>
      <w:r w:rsidR="001F20D2">
        <w:rPr>
          <w:rFonts w:ascii="Times New Roman" w:hAnsi="Times New Roman" w:cs="Times New Roman"/>
          <w:b/>
          <w:color w:val="000000" w:themeColor="text1"/>
          <w:sz w:val="24"/>
          <w:szCs w:val="24"/>
          <w:u w:val="single"/>
          <w:lang w:val="el-GR"/>
        </w:rPr>
        <w:t xml:space="preserve">τμήματος </w:t>
      </w:r>
      <w:r w:rsidR="001F20D2" w:rsidRPr="001F20D2">
        <w:rPr>
          <w:rFonts w:ascii="Times New Roman" w:hAnsi="Times New Roman" w:cs="Times New Roman"/>
          <w:b/>
          <w:color w:val="000000" w:themeColor="text1"/>
          <w:sz w:val="24"/>
          <w:szCs w:val="24"/>
          <w:u w:val="single"/>
          <w:lang w:val="el-GR"/>
        </w:rPr>
        <w:t xml:space="preserve">διοίκησης επιχειρήσεων και οργανισμών κατεύθυνσης τοπικής αυτοδιοίκησης </w:t>
      </w:r>
      <w:r w:rsidR="001F20D2">
        <w:rPr>
          <w:rFonts w:ascii="Times New Roman" w:hAnsi="Times New Roman" w:cs="Times New Roman"/>
          <w:b/>
          <w:color w:val="000000" w:themeColor="text1"/>
          <w:sz w:val="24"/>
          <w:szCs w:val="24"/>
          <w:u w:val="single"/>
          <w:lang w:val="el-GR"/>
        </w:rPr>
        <w:t xml:space="preserve">του </w:t>
      </w:r>
      <w:r w:rsidRPr="000819EA">
        <w:rPr>
          <w:rFonts w:ascii="Times New Roman" w:hAnsi="Times New Roman" w:cs="Times New Roman"/>
          <w:b/>
          <w:color w:val="000000" w:themeColor="text1"/>
          <w:sz w:val="24"/>
          <w:szCs w:val="24"/>
          <w:u w:val="single"/>
          <w:lang w:val="el-GR"/>
        </w:rPr>
        <w:t xml:space="preserve">Τ.Ε.Ι. </w:t>
      </w:r>
      <w:r w:rsidR="001F20D2">
        <w:rPr>
          <w:rFonts w:ascii="Times New Roman" w:hAnsi="Times New Roman" w:cs="Times New Roman"/>
          <w:b/>
          <w:color w:val="000000" w:themeColor="text1"/>
          <w:sz w:val="24"/>
          <w:szCs w:val="24"/>
          <w:u w:val="single"/>
          <w:lang w:val="el-GR"/>
        </w:rPr>
        <w:t>Πελοποννήσου</w:t>
      </w:r>
      <w:r w:rsidRPr="000819EA">
        <w:rPr>
          <w:rFonts w:ascii="Times New Roman" w:hAnsi="Times New Roman" w:cs="Times New Roman"/>
          <w:b/>
          <w:color w:val="000000" w:themeColor="text1"/>
          <w:sz w:val="24"/>
          <w:szCs w:val="24"/>
          <w:u w:val="single"/>
          <w:lang w:val="el-GR"/>
        </w:rPr>
        <w:t xml:space="preserve"> αν και απόφοιτοι ενός αναγνωρισμένου Ανώτατου Εκπαιδευτικού Ιδρύματος (τόσο διά νόμου και επισήμων εθνικών δηλώσεων όσο και διά των διεθνών ακαδημαϊκών προτύπων, κατηγοριοποιήσεων και ορισμών), αντιμετωπίζεται διαφορετικά από το Ελληνικό Κράτος σε σχέση με ανάλογες περιπτώσεις του παρελθόντος και δη όταν πρόκειται για απολύτως ισότιμο ίδρυμα, ίσης διάρκειας και ίδιου επιπέδου με το</w:t>
      </w:r>
      <w:r w:rsidRPr="000819EA">
        <w:rPr>
          <w:rFonts w:cs="font300"/>
          <w:color w:val="000000" w:themeColor="text1"/>
          <w:u w:val="single"/>
          <w:lang w:val="el-GR"/>
        </w:rPr>
        <w:t xml:space="preserve"> </w:t>
      </w:r>
      <w:r w:rsidRPr="000819EA">
        <w:rPr>
          <w:rFonts w:ascii="Times New Roman" w:hAnsi="Times New Roman" w:cs="Times New Roman"/>
          <w:b/>
          <w:color w:val="000000" w:themeColor="text1"/>
          <w:sz w:val="24"/>
          <w:szCs w:val="24"/>
          <w:u w:val="single"/>
          <w:lang w:val="el-GR"/>
        </w:rPr>
        <w:t>νέο-ιδρυθέν;</w:t>
      </w:r>
    </w:p>
    <w:p w14:paraId="5CC41969" w14:textId="77777777" w:rsidR="00A10E8E" w:rsidRPr="000819EA" w:rsidRDefault="00136595">
      <w:pPr>
        <w:widowControl/>
        <w:spacing w:line="360" w:lineRule="auto"/>
        <w:ind w:firstLine="426"/>
        <w:jc w:val="both"/>
        <w:rPr>
          <w:rFonts w:ascii="Times New Roman" w:eastAsia="Calibri" w:hAnsi="Times New Roman" w:cs="Times New Roman"/>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 xml:space="preserve">Επειδή </w:t>
      </w:r>
      <w:r w:rsidRPr="000819EA">
        <w:rPr>
          <w:rFonts w:ascii="Times New Roman" w:eastAsia="Calibri" w:hAnsi="Times New Roman" w:cs="Times New Roman"/>
          <w:color w:val="000000" w:themeColor="text1"/>
          <w:sz w:val="24"/>
          <w:szCs w:val="24"/>
          <w:lang w:val="el-GR"/>
        </w:rPr>
        <w:t xml:space="preserve">σύμφωνα με τις παρ. 5 και 7 του άρθρου 16 του Συντάγματος </w:t>
      </w:r>
      <w:r w:rsidRPr="000819EA">
        <w:rPr>
          <w:rFonts w:ascii="Times New Roman" w:eastAsia="Calibri" w:hAnsi="Times New Roman" w:cs="Times New Roman"/>
          <w:i/>
          <w:color w:val="000000" w:themeColor="text1"/>
          <w:sz w:val="24"/>
          <w:szCs w:val="24"/>
          <w:lang w:val="el-GR"/>
        </w:rPr>
        <w:t xml:space="preserve"> «5. Η ανώτατη εκπαίδευση παρέχεται αποκλειστικά από ιδρύματα που αποτελούν νομικά πρόσωπα δημοσίου δικαίου με πλήρη αυτοδιοίκηση. Τα ιδρύματα αυτά τελούν υπό την εποπτεία του Κράτους, έχουν δικαίωμα να ενισχύονται οικονομικά από αυτό και λειτουργούν σύμφωνα με τους νόμους που αφορούν τους οργανισμούς τους. Συγχώνευση ή κατάτμηση ανώτατων εκπαιδευτικών </w:t>
      </w:r>
      <w:r w:rsidRPr="000819EA">
        <w:rPr>
          <w:rFonts w:ascii="Times New Roman" w:eastAsia="Calibri" w:hAnsi="Times New Roman" w:cs="Times New Roman"/>
          <w:i/>
          <w:color w:val="000000" w:themeColor="text1"/>
          <w:sz w:val="24"/>
          <w:szCs w:val="24"/>
          <w:lang w:val="el-GR"/>
        </w:rPr>
        <w:lastRenderedPageBreak/>
        <w:t xml:space="preserve">ιδρυμάτων μπορεί να γίνει και κατά παρέκκλιση από κάθε αντίθετη διάταξη, όπως ο νόμος ορίζει. 7. </w:t>
      </w:r>
      <w:r w:rsidRPr="000819EA">
        <w:rPr>
          <w:rFonts w:ascii="Times New Roman" w:eastAsia="Calibri" w:hAnsi="Times New Roman" w:cs="Times New Roman"/>
          <w:i/>
          <w:color w:val="000000" w:themeColor="text1"/>
          <w:sz w:val="24"/>
          <w:szCs w:val="24"/>
          <w:u w:val="single"/>
          <w:lang w:val="el-GR"/>
        </w:rPr>
        <w:t xml:space="preserve">Η επαγγελματική και κάθε άλλη ειδική εκπαίδευση παρέχεται από το Κράτος και με σχολές ανώτερης βαθμίδας </w:t>
      </w:r>
      <w:r w:rsidRPr="000819EA">
        <w:rPr>
          <w:rFonts w:ascii="Times New Roman" w:eastAsia="Calibri" w:hAnsi="Times New Roman" w:cs="Times New Roman"/>
          <w:b/>
          <w:i/>
          <w:color w:val="000000" w:themeColor="text1"/>
          <w:sz w:val="24"/>
          <w:szCs w:val="24"/>
          <w:u w:val="single"/>
          <w:lang w:val="el-GR"/>
        </w:rPr>
        <w:t>για χρονικό διάστημα όχι μεγαλύτερο από τρία χρόνια</w:t>
      </w:r>
      <w:r w:rsidRPr="000819EA">
        <w:rPr>
          <w:rFonts w:ascii="Times New Roman" w:eastAsia="Calibri" w:hAnsi="Times New Roman" w:cs="Times New Roman"/>
          <w:i/>
          <w:color w:val="000000" w:themeColor="text1"/>
          <w:sz w:val="24"/>
          <w:szCs w:val="24"/>
          <w:lang w:val="el-GR"/>
        </w:rPr>
        <w:t xml:space="preserve">, όπως προβλέπεται ειδικότερα από το νόμο, που ορίζει και τα επαγγελματικά δικαιώματα όσων αποφοιτούν από τις σχολές αυτές». </w:t>
      </w:r>
    </w:p>
    <w:p w14:paraId="6A0FA8F5" w14:textId="77777777" w:rsidR="00A10E8E" w:rsidRPr="000819EA" w:rsidRDefault="00136595">
      <w:pPr>
        <w:widowControl/>
        <w:spacing w:line="360" w:lineRule="auto"/>
        <w:ind w:firstLine="426"/>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color w:val="000000" w:themeColor="text1"/>
          <w:sz w:val="24"/>
          <w:szCs w:val="24"/>
          <w:lang w:val="el-GR"/>
        </w:rPr>
        <w:t xml:space="preserve">Η διάκριση της ανώτατης από την ανώτερη εκπαίδευση στην Ελλάδα επιβάλλεται και κατοχυρώνεται συνταγματικά. Διά των ανωτέρω διατάξεων, ο νομοθέτης, στον θεμελιώδη νόμο του κράτους ο οποίος είναι το Σύνταγμα, </w:t>
      </w:r>
      <w:r w:rsidRPr="000819EA">
        <w:rPr>
          <w:rFonts w:ascii="Times New Roman" w:eastAsia="Calibri" w:hAnsi="Times New Roman" w:cs="Times New Roman"/>
          <w:color w:val="000000" w:themeColor="text1"/>
          <w:sz w:val="24"/>
          <w:szCs w:val="24"/>
          <w:u w:val="single"/>
          <w:lang w:val="el-GR"/>
        </w:rPr>
        <w:t>θέτει ένα τυπικό και ένα ουσιαστικό κριτήριο</w:t>
      </w:r>
      <w:r w:rsidRPr="000819EA">
        <w:rPr>
          <w:rFonts w:ascii="Times New Roman" w:eastAsia="Calibri" w:hAnsi="Times New Roman" w:cs="Times New Roman"/>
          <w:color w:val="000000" w:themeColor="text1"/>
          <w:sz w:val="24"/>
          <w:szCs w:val="24"/>
          <w:lang w:val="el-GR"/>
        </w:rPr>
        <w:t xml:space="preserve"> της εν λόγω διάκρισης. </w:t>
      </w:r>
      <w:r w:rsidRPr="000819EA">
        <w:rPr>
          <w:rFonts w:ascii="Times New Roman" w:eastAsia="Calibri" w:hAnsi="Times New Roman" w:cs="Times New Roman"/>
          <w:b/>
          <w:color w:val="000000" w:themeColor="text1"/>
          <w:sz w:val="24"/>
          <w:szCs w:val="24"/>
          <w:lang w:val="el-GR"/>
        </w:rPr>
        <w:t>Το τυπικό κριτήριο είναι</w:t>
      </w:r>
      <w:r w:rsidRPr="000819EA">
        <w:rPr>
          <w:rFonts w:ascii="Times New Roman" w:eastAsia="Calibri" w:hAnsi="Times New Roman" w:cs="Times New Roman"/>
          <w:color w:val="000000" w:themeColor="text1"/>
          <w:sz w:val="24"/>
          <w:szCs w:val="24"/>
          <w:lang w:val="el-GR"/>
        </w:rPr>
        <w:t xml:space="preserve"> ότι οι σπουδές ανώτερης εκπαίδευσης έχουν έως τριετή διάρκεια, </w:t>
      </w:r>
      <w:r w:rsidRPr="000819EA">
        <w:rPr>
          <w:rFonts w:ascii="Times New Roman" w:eastAsia="Calibri" w:hAnsi="Times New Roman" w:cs="Times New Roman"/>
          <w:b/>
          <w:color w:val="000000" w:themeColor="text1"/>
          <w:sz w:val="24"/>
          <w:szCs w:val="24"/>
          <w:lang w:val="el-GR"/>
        </w:rPr>
        <w:t>ενώ το ουσιαστικό</w:t>
      </w:r>
      <w:r w:rsidRPr="000819EA">
        <w:rPr>
          <w:rFonts w:ascii="Times New Roman" w:eastAsia="Calibri" w:hAnsi="Times New Roman" w:cs="Times New Roman"/>
          <w:color w:val="000000" w:themeColor="text1"/>
          <w:sz w:val="24"/>
          <w:szCs w:val="24"/>
          <w:lang w:val="el-GR"/>
        </w:rPr>
        <w:t xml:space="preserve"> ότι ως ανώτερη νοείται μόνο η επαγγελματική ή άλλη εκπαίδευση. Επιπλέον, στο Σύνταγμα δεν κατοχυρώνεται και δεν τυποποιείται ως αυτοτελή έννοια του δικαίου της εκπαίδευσης η κατηγορία «Πανεπιστήμια», παρά μόνο η κατηγορία «Ανώτατα Εκπαιδευτικά Ιδρύματα». Πιο συγκεκριμένα, η εν λόγω έννοια κατοχυρώνεται και τυποποιείται ως αυτοτελώς συνταγματική, διότι σύμφωνα με το ανωτέρω άρθρο του Συντάγματος η «</w:t>
      </w:r>
      <w:r w:rsidRPr="000819EA">
        <w:rPr>
          <w:rFonts w:ascii="Times New Roman" w:eastAsia="Calibri" w:hAnsi="Times New Roman" w:cs="Times New Roman"/>
          <w:i/>
          <w:color w:val="000000" w:themeColor="text1"/>
          <w:sz w:val="24"/>
          <w:szCs w:val="24"/>
          <w:lang w:val="el-GR"/>
        </w:rPr>
        <w:t xml:space="preserve">ανώτατη εκπαίδευση παρέχεται αποκλειστικά από ιδρύματα που αποτελούν νομικά πρόσωπα δημοσίου δικαίου με πλήρη αυτοδιοίκηση» </w:t>
      </w:r>
      <w:r w:rsidRPr="000819EA">
        <w:rPr>
          <w:rFonts w:ascii="Times New Roman" w:eastAsia="Calibri" w:hAnsi="Times New Roman" w:cs="Times New Roman"/>
          <w:color w:val="000000" w:themeColor="text1"/>
          <w:sz w:val="24"/>
          <w:szCs w:val="24"/>
          <w:lang w:val="el-GR"/>
        </w:rPr>
        <w:t>(παρ. 5) και των οποίων οι καθηγητές «</w:t>
      </w:r>
      <w:r w:rsidRPr="000819EA">
        <w:rPr>
          <w:rFonts w:ascii="Times New Roman" w:eastAsia="Calibri" w:hAnsi="Times New Roman" w:cs="Times New Roman"/>
          <w:i/>
          <w:color w:val="000000" w:themeColor="text1"/>
          <w:sz w:val="24"/>
          <w:szCs w:val="24"/>
          <w:lang w:val="el-GR"/>
        </w:rPr>
        <w:t>είναι δημόσιοι λειτουργοί</w:t>
      </w:r>
      <w:r w:rsidRPr="000819EA">
        <w:rPr>
          <w:rFonts w:ascii="Times New Roman" w:eastAsia="Calibri" w:hAnsi="Times New Roman" w:cs="Times New Roman"/>
          <w:color w:val="000000" w:themeColor="text1"/>
          <w:sz w:val="24"/>
          <w:szCs w:val="24"/>
          <w:lang w:val="el-GR"/>
        </w:rPr>
        <w:t>» (παρ. 6). Η έννοια αυτή αντιδιαστέλλεται πλήρως προς την ανώτερη εκπαίδευση, η οποία τυποποιείται στην παρ. 7 του ίδιου άρθρου διότι αυτή είναι η «</w:t>
      </w:r>
      <w:r w:rsidRPr="000819EA">
        <w:rPr>
          <w:rFonts w:ascii="Times New Roman" w:eastAsia="Calibri" w:hAnsi="Times New Roman" w:cs="Times New Roman"/>
          <w:i/>
          <w:color w:val="000000" w:themeColor="text1"/>
          <w:sz w:val="24"/>
          <w:szCs w:val="24"/>
          <w:lang w:val="el-GR"/>
        </w:rPr>
        <w:t>επαγγελματική και κάθε άλλη ειδική εκπαίδευση</w:t>
      </w:r>
      <w:r w:rsidRPr="000819EA">
        <w:rPr>
          <w:rFonts w:ascii="Times New Roman" w:eastAsia="Calibri" w:hAnsi="Times New Roman" w:cs="Times New Roman"/>
          <w:color w:val="000000" w:themeColor="text1"/>
          <w:sz w:val="24"/>
          <w:szCs w:val="24"/>
          <w:lang w:val="el-GR"/>
        </w:rPr>
        <w:t>»  η οποία παρέχεται «</w:t>
      </w:r>
      <w:r w:rsidRPr="000819EA">
        <w:rPr>
          <w:rFonts w:ascii="Times New Roman" w:eastAsia="Calibri" w:hAnsi="Times New Roman" w:cs="Times New Roman"/>
          <w:i/>
          <w:color w:val="000000" w:themeColor="text1"/>
          <w:sz w:val="24"/>
          <w:szCs w:val="24"/>
          <w:lang w:val="el-GR"/>
        </w:rPr>
        <w:t>από σχολές ανώτερης βαθμίδας για χρονικό διάστημα όχι μεγαλύτερο από τρία χρόνια</w:t>
      </w:r>
      <w:r w:rsidRPr="000819EA">
        <w:rPr>
          <w:rFonts w:ascii="Times New Roman" w:eastAsia="Calibri" w:hAnsi="Times New Roman" w:cs="Times New Roman"/>
          <w:color w:val="000000" w:themeColor="text1"/>
          <w:sz w:val="24"/>
          <w:szCs w:val="24"/>
          <w:lang w:val="el-GR"/>
        </w:rPr>
        <w:t>». Συγχρόνως όμως, δεν μπορεί να παραβλέψει κανείς τον χαρακτηρισμό ιδρυμάτων του παρελθόντος ως «σχολές ανώτατης εκπαίδευσης» τα οποία ενώ ανήκαν αναμφίβολα στην ανώτατη εκπαίδευση δεν χαρακτηρίζονταν και, κατά νομική ακριβολογία, δεν ήταν πανεπιστήμια. Τέτοια ιδρύματα, που διακρίνονταν από τα πανεπιστήμια ήταν για παράδειγμα η Πάντειος Σχολή Πολιτικών Επιστημών, η Ανωτάτη Γεωπονική Σχολή, Ανωτάτη Σχολή Καλών Τεχνών, ακόμη και το Εθνικό Μετσόβιο Πολυτεχνείο. Παρ’ όλα αυτά όμως, μέσω του Συντάγματος του 1975, τα ιδρύματα αυτά είτε μετετράπησαν σε πανεπιστήμια (Πάντειο Πανεπιστήμιο, Γεωπονικό Πανεπιστήμιο) είτε εξομοιώθηκαν πλήρως με πανεπιστήμια (Πολυτεχνεία, Ανώτατη Σχολή Καλών Τεχνών) και ανήκουν πλέον στον πανεπιστημιακό τομέα της ανώτατης εκπαίδευσης. (Χρυσόγονος 2015, Γνωμοδότηση προς το Τ.Ε.Ι. Ανατολικής Μακεδονίας και Θράκης).</w:t>
      </w:r>
    </w:p>
    <w:p w14:paraId="75D1BAB5" w14:textId="77777777" w:rsidR="00A10E8E" w:rsidRPr="000819EA" w:rsidRDefault="00136595">
      <w:pPr>
        <w:widowControl/>
        <w:spacing w:line="360" w:lineRule="auto"/>
        <w:ind w:firstLine="426"/>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δυνάμει της υπ’ αριθ. 4247/2013 απόφασης του Γ’ τμήματος του ΣτΕ (σκέψη 5) «</w:t>
      </w:r>
      <w:r w:rsidRPr="000819EA">
        <w:rPr>
          <w:rFonts w:ascii="Times New Roman" w:eastAsia="Calibri" w:hAnsi="Times New Roman" w:cs="Times New Roman"/>
          <w:i/>
          <w:color w:val="000000" w:themeColor="text1"/>
          <w:sz w:val="24"/>
          <w:szCs w:val="24"/>
          <w:lang w:val="el-GR"/>
        </w:rPr>
        <w:t xml:space="preserve">Επειδή, ο νομοθέτης, λαμβάνοντας υπόψη τις μεταρρυθμίσεις που έλαβαν χώρα στις περισσότερες ευρωπαϊκές χώρες, στις οποίες αναπτύσσεται ήδη ενιαίος χώρος ανώτατης </w:t>
      </w:r>
      <w:r w:rsidRPr="000819EA">
        <w:rPr>
          <w:rFonts w:ascii="Times New Roman" w:eastAsia="Calibri" w:hAnsi="Times New Roman" w:cs="Times New Roman"/>
          <w:i/>
          <w:color w:val="000000" w:themeColor="text1"/>
          <w:sz w:val="24"/>
          <w:szCs w:val="24"/>
          <w:lang w:val="el-GR"/>
        </w:rPr>
        <w:lastRenderedPageBreak/>
        <w:t xml:space="preserve">(πανεπιστημιακής και τεχνολογικής) εκπαίδευσης και τις ανάγκες της σύγχρονης οικονομίας και παραγωγής για επιστημονικώς καταρτισμένα στελέχη και διαπιστώνοντας ότι τα Τ.Ε.Ι., με τις συνεχείς αναβαθμίσεις των προσόντων των εκπαιδευτικών τους και τον συνεχή εκσυγχρονισμό των προγραμμάτων σπουδών τους, </w:t>
      </w:r>
      <w:r w:rsidRPr="000819EA">
        <w:rPr>
          <w:rFonts w:ascii="Times New Roman" w:eastAsia="Calibri" w:hAnsi="Times New Roman" w:cs="Times New Roman"/>
          <w:b/>
          <w:i/>
          <w:color w:val="000000" w:themeColor="text1"/>
          <w:sz w:val="24"/>
          <w:szCs w:val="24"/>
          <w:u w:val="single"/>
          <w:lang w:val="el-GR"/>
        </w:rPr>
        <w:t>είχαν αποκτήσει στην πράξη τα ουσιαστικά χαρακτηριστικά της ανώτατης εκπαίδευσης, προέβη στην αναδιοργάνωση του χώρου της ανώτατης εκπαίδευσης.</w:t>
      </w:r>
      <w:r w:rsidRPr="000819EA">
        <w:rPr>
          <w:rFonts w:ascii="Times New Roman" w:eastAsia="Calibri" w:hAnsi="Times New Roman" w:cs="Times New Roman"/>
          <w:i/>
          <w:color w:val="000000" w:themeColor="text1"/>
          <w:sz w:val="24"/>
          <w:szCs w:val="24"/>
          <w:lang w:val="el-GR"/>
        </w:rPr>
        <w:t xml:space="preserve"> Με τον ν. 2916/2001 τα Τ.Ε.Ι. ως «σχολές ανώτερης βαθμίδας» καταργούνται, ταυτόχρονα δε ιδρύονται, με την ίδια ονομασία, </w:t>
      </w:r>
      <w:r w:rsidRPr="000819EA">
        <w:rPr>
          <w:rFonts w:ascii="Times New Roman" w:eastAsia="Calibri" w:hAnsi="Times New Roman" w:cs="Times New Roman"/>
          <w:b/>
          <w:i/>
          <w:color w:val="000000" w:themeColor="text1"/>
          <w:sz w:val="24"/>
          <w:szCs w:val="24"/>
          <w:lang w:val="el-GR"/>
        </w:rPr>
        <w:t>ανώτατα εκπαιδευτικά ιδρύματα</w:t>
      </w:r>
      <w:r w:rsidRPr="000819EA">
        <w:rPr>
          <w:rFonts w:ascii="Times New Roman" w:eastAsia="Calibri" w:hAnsi="Times New Roman" w:cs="Times New Roman"/>
          <w:i/>
          <w:color w:val="000000" w:themeColor="text1"/>
          <w:sz w:val="24"/>
          <w:szCs w:val="24"/>
          <w:lang w:val="el-GR"/>
        </w:rPr>
        <w:t xml:space="preserve">. Κατά το άρθρο 1 του ν. 2916/2001 η ανώτατη εκπαίδευση αποτελείται από τον πανεπιστημιακό τομέα και τον τεχνολογικό τομέα που περιλαμβάνει τα ιδρυόμενα με τον εν λόγω νόμο Α.Τ.Ε.Ι. Ειδικότερα, σύμφωνα με τις διατάξεις του άρθρου 1 του ν. 2916/2001 </w:t>
      </w:r>
      <w:r w:rsidRPr="000819EA">
        <w:rPr>
          <w:rFonts w:ascii="Times New Roman" w:eastAsia="Calibri" w:hAnsi="Times New Roman" w:cs="Times New Roman"/>
          <w:b/>
          <w:i/>
          <w:color w:val="000000" w:themeColor="text1"/>
          <w:sz w:val="24"/>
          <w:szCs w:val="24"/>
          <w:u w:val="single"/>
          <w:lang w:val="el-GR"/>
        </w:rPr>
        <w:t>τα Α.Τ.Ε.Ι. αποβλέπουν στην παροχή εκπαιδεύσεως, η οποία δεν έχει τα χαρακτηριστικά της ανώτερης επαγγελματικής εκπαίδευσης</w:t>
      </w:r>
      <w:r w:rsidRPr="000819EA">
        <w:rPr>
          <w:rFonts w:ascii="Times New Roman" w:eastAsia="Calibri" w:hAnsi="Times New Roman" w:cs="Times New Roman"/>
          <w:b/>
          <w:i/>
          <w:color w:val="000000" w:themeColor="text1"/>
          <w:sz w:val="24"/>
          <w:szCs w:val="24"/>
          <w:lang w:val="el-GR"/>
        </w:rPr>
        <w:t xml:space="preserve">, δηλαδή απλής μετάδοσης εξειδικευμένων γνώσεων, εμπειριών και δυνατοτήτων για την άσκηση ορισμένου επαγγέλματος, και τούτο </w:t>
      </w:r>
      <w:r w:rsidRPr="000819EA">
        <w:rPr>
          <w:rFonts w:ascii="Times New Roman" w:eastAsia="Calibri" w:hAnsi="Times New Roman" w:cs="Times New Roman"/>
          <w:b/>
          <w:i/>
          <w:color w:val="000000" w:themeColor="text1"/>
          <w:sz w:val="24"/>
          <w:szCs w:val="24"/>
          <w:u w:val="single"/>
          <w:lang w:val="el-GR"/>
        </w:rPr>
        <w:t>διότι δίδεται ιδιαίτερη έμφαση στην θεωρητική και εφαρμοσμένη επιστημονική κατάρτιση των αποφοίτων τους και την διεξαγωγή τεχνολογικής έρευνας για την ανάπτυξη και μεταφορά σύγχρονης τεχνολογίας και τεχνογνωσίας.</w:t>
      </w:r>
      <w:r w:rsidRPr="000819EA">
        <w:rPr>
          <w:rFonts w:ascii="Times New Roman" w:eastAsia="Calibri" w:hAnsi="Times New Roman" w:cs="Times New Roman"/>
          <w:color w:val="000000" w:themeColor="text1"/>
          <w:sz w:val="24"/>
          <w:szCs w:val="24"/>
          <w:lang w:val="el-GR"/>
        </w:rPr>
        <w:t xml:space="preserve">»  </w:t>
      </w:r>
    </w:p>
    <w:p w14:paraId="511074CD" w14:textId="765FC2ED" w:rsidR="000819EA" w:rsidRPr="001948A9" w:rsidRDefault="00136595" w:rsidP="001948A9">
      <w:pPr>
        <w:widowControl/>
        <w:spacing w:line="360" w:lineRule="auto"/>
        <w:ind w:firstLine="426"/>
        <w:jc w:val="both"/>
        <w:rPr>
          <w:rFonts w:ascii="Times New Roman" w:eastAsia="Calibri" w:hAnsi="Times New Roman" w:cs="Times New Roman"/>
          <w:i/>
          <w:iCs/>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το νομικό καθεστώς των Α.Ε.Ι. Τ.Τ., μετά την «ανωτατοποίησή» τους (Ν. 2916/2001), χαρακτηρίζεται από μια σταθερή πορεία εξομοίωσης με τα υπόλοιπα Α.Ε.Ι. του πανεπιστημιακού τομέα, με την σταδιακή εξάλειψη των όποιων διαφοροποιήσεων είχαν διατηρήσει οι νόμοι 2916/2001, 3549/2007 και 4009/2011. Με τον Ν. 4485/2017 κορυφώθηκε η νομοθετική εξομοίωση, διότι ο νόμος αυτός ρυθμίζει τα κάθε είδους θέματα των Α.Ε.Ι. (γενικές αρχές, αυτοδιοίκηση και όργανα, καθηγητικό και λοιπό προσωπικό, σπουδές, φοιτητές κλπ.) κατά τρόπο ενιαίο και χωρίς διακρίσεις. Έτσι λοιπόν, ο νομοθέτης αφενός έχει κατοχυρώσει πλήρως τον ανώτατο ακαδημαϊκό χαρακτήρα των Α.Ε.Ι. Τ.Τ. εντάσσοντάς τα, τυπικά και ουσιαστικά, στην κατηγορία των Α.Ε.Ι. μαζί με τα Πανεπιστήμια και αφετέρου κατέστησε σαφές ότι τα Α.Ε.Ι. Τ.Τ. και τα Πανεπιστήμια έχουν, καταρχήν και κατά βάση, κοινή αποστολή την οποία επιτελούν βάσει κοινών κανόνων και αρχών. </w:t>
      </w:r>
    </w:p>
    <w:p w14:paraId="514FF550" w14:textId="254B85F4" w:rsidR="00A10E8E" w:rsidRPr="000819EA" w:rsidRDefault="00136595">
      <w:pPr>
        <w:widowControl/>
        <w:spacing w:line="360" w:lineRule="auto"/>
        <w:jc w:val="both"/>
        <w:rPr>
          <w:rFonts w:ascii="Times New Roman" w:eastAsia="Calibri" w:hAnsi="Times New Roman" w:cs="Times New Roman"/>
          <w:b/>
          <w:iCs/>
          <w:color w:val="000000" w:themeColor="text1"/>
          <w:sz w:val="24"/>
          <w:szCs w:val="24"/>
          <w:lang w:val="el-GR"/>
        </w:rPr>
      </w:pPr>
      <w:r w:rsidRPr="000819EA">
        <w:rPr>
          <w:rFonts w:ascii="Times New Roman" w:eastAsia="Calibri" w:hAnsi="Times New Roman" w:cs="Times New Roman"/>
          <w:iCs/>
          <w:color w:val="000000" w:themeColor="text1"/>
          <w:sz w:val="24"/>
          <w:szCs w:val="24"/>
          <w:lang w:val="el-GR"/>
        </w:rPr>
        <w:tab/>
      </w:r>
      <w:r w:rsidR="00581A2A">
        <w:rPr>
          <w:rFonts w:ascii="Times New Roman" w:eastAsia="Calibri" w:hAnsi="Times New Roman" w:cs="Times New Roman"/>
          <w:iCs/>
          <w:color w:val="000000" w:themeColor="text1"/>
          <w:sz w:val="24"/>
          <w:szCs w:val="24"/>
          <w:lang w:val="el-GR"/>
        </w:rPr>
        <w:t>Στην</w:t>
      </w:r>
      <w:r w:rsidRPr="000819EA">
        <w:rPr>
          <w:rFonts w:ascii="Times New Roman" w:eastAsia="Calibri" w:hAnsi="Times New Roman" w:cs="Times New Roman"/>
          <w:iCs/>
          <w:color w:val="000000" w:themeColor="text1"/>
          <w:sz w:val="24"/>
          <w:szCs w:val="24"/>
          <w:lang w:val="el-GR"/>
        </w:rPr>
        <w:t xml:space="preserve"> αιτιολογική έκθεση του ν. 4610/2019</w:t>
      </w:r>
      <w:r w:rsidR="001948A9">
        <w:rPr>
          <w:rFonts w:ascii="Times New Roman" w:eastAsia="Calibri" w:hAnsi="Times New Roman" w:cs="Times New Roman"/>
          <w:iCs/>
          <w:color w:val="000000" w:themeColor="text1"/>
          <w:sz w:val="24"/>
          <w:szCs w:val="24"/>
          <w:lang w:val="el-GR"/>
        </w:rPr>
        <w:t xml:space="preserve"> ο νομοθέτης κάνει σαφή αναφορά ως προς</w:t>
      </w:r>
      <w:r w:rsidR="00581A2A">
        <w:rPr>
          <w:rFonts w:ascii="Times New Roman" w:eastAsia="Calibri" w:hAnsi="Times New Roman" w:cs="Times New Roman"/>
          <w:iCs/>
          <w:color w:val="000000" w:themeColor="text1"/>
          <w:sz w:val="24"/>
          <w:szCs w:val="24"/>
          <w:lang w:val="el-GR"/>
        </w:rPr>
        <w:t xml:space="preserve"> επίπεδο σπουδών των Α.Ε.Ι. Τ.Τ. (</w:t>
      </w:r>
      <w:r w:rsidR="00581A2A" w:rsidRPr="000819EA">
        <w:rPr>
          <w:rFonts w:ascii="Times New Roman" w:eastAsia="Calibri" w:hAnsi="Times New Roman" w:cs="Times New Roman"/>
          <w:iCs/>
          <w:color w:val="000000" w:themeColor="text1"/>
          <w:sz w:val="24"/>
          <w:szCs w:val="24"/>
          <w:lang w:val="el-GR"/>
        </w:rPr>
        <w:t>Τ.Ε.Ι.</w:t>
      </w:r>
      <w:r w:rsidR="00581A2A">
        <w:rPr>
          <w:rFonts w:ascii="Times New Roman" w:eastAsia="Calibri" w:hAnsi="Times New Roman" w:cs="Times New Roman"/>
          <w:iCs/>
          <w:color w:val="000000" w:themeColor="text1"/>
          <w:sz w:val="24"/>
          <w:szCs w:val="24"/>
          <w:lang w:val="el-GR"/>
        </w:rPr>
        <w:t xml:space="preserve">) </w:t>
      </w:r>
      <w:r w:rsidR="001948A9">
        <w:rPr>
          <w:rFonts w:ascii="Times New Roman" w:eastAsia="Calibri" w:hAnsi="Times New Roman" w:cs="Times New Roman"/>
          <w:iCs/>
          <w:color w:val="000000" w:themeColor="text1"/>
          <w:sz w:val="24"/>
          <w:szCs w:val="24"/>
          <w:lang w:val="el-GR"/>
        </w:rPr>
        <w:t>επισημαίν</w:t>
      </w:r>
      <w:r w:rsidR="00581A2A">
        <w:rPr>
          <w:rFonts w:ascii="Times New Roman" w:eastAsia="Calibri" w:hAnsi="Times New Roman" w:cs="Times New Roman"/>
          <w:iCs/>
          <w:color w:val="000000" w:themeColor="text1"/>
          <w:sz w:val="24"/>
          <w:szCs w:val="24"/>
          <w:lang w:val="el-GR"/>
        </w:rPr>
        <w:t>οντας</w:t>
      </w:r>
      <w:r w:rsidRPr="000819EA">
        <w:rPr>
          <w:rFonts w:ascii="Times New Roman" w:eastAsia="Calibri" w:hAnsi="Times New Roman" w:cs="Times New Roman"/>
          <w:iCs/>
          <w:color w:val="000000" w:themeColor="text1"/>
          <w:sz w:val="24"/>
          <w:szCs w:val="24"/>
          <w:lang w:val="el-GR"/>
        </w:rPr>
        <w:t xml:space="preserve"> </w:t>
      </w:r>
      <w:r w:rsidR="001948A9">
        <w:rPr>
          <w:rFonts w:ascii="Times New Roman" w:eastAsia="Calibri" w:hAnsi="Times New Roman" w:cs="Times New Roman"/>
          <w:iCs/>
          <w:color w:val="000000" w:themeColor="text1"/>
          <w:sz w:val="24"/>
          <w:szCs w:val="24"/>
          <w:lang w:val="el-GR"/>
        </w:rPr>
        <w:t>το ήδη υψηλό</w:t>
      </w:r>
      <w:r w:rsidR="00581A2A">
        <w:rPr>
          <w:rFonts w:ascii="Times New Roman" w:eastAsia="Calibri" w:hAnsi="Times New Roman" w:cs="Times New Roman"/>
          <w:iCs/>
          <w:color w:val="000000" w:themeColor="text1"/>
          <w:sz w:val="24"/>
          <w:szCs w:val="24"/>
          <w:lang w:val="el-GR"/>
        </w:rPr>
        <w:t xml:space="preserve"> επίπεδο σπουδών</w:t>
      </w:r>
      <w:r w:rsidR="001948A9">
        <w:rPr>
          <w:rFonts w:ascii="Times New Roman" w:eastAsia="Calibri" w:hAnsi="Times New Roman" w:cs="Times New Roman"/>
          <w:iCs/>
          <w:color w:val="000000" w:themeColor="text1"/>
          <w:sz w:val="24"/>
          <w:szCs w:val="24"/>
          <w:lang w:val="el-GR"/>
        </w:rPr>
        <w:t xml:space="preserve"> καθώς και το γεγονός ότι αυτά είχαν ενταχτεί</w:t>
      </w:r>
      <w:r w:rsidRPr="000819EA">
        <w:rPr>
          <w:rFonts w:ascii="Times New Roman" w:eastAsia="Calibri" w:hAnsi="Times New Roman" w:cs="Times New Roman"/>
          <w:iCs/>
          <w:color w:val="000000" w:themeColor="text1"/>
          <w:sz w:val="24"/>
          <w:szCs w:val="24"/>
          <w:lang w:val="el-GR"/>
        </w:rPr>
        <w:t xml:space="preserve"> στην ανώτατη εκπαίδευση</w:t>
      </w:r>
      <w:r w:rsidR="001948A9">
        <w:rPr>
          <w:rFonts w:ascii="Times New Roman" w:eastAsia="Calibri" w:hAnsi="Times New Roman" w:cs="Times New Roman"/>
          <w:iCs/>
          <w:color w:val="000000" w:themeColor="text1"/>
          <w:sz w:val="24"/>
          <w:szCs w:val="24"/>
          <w:lang w:val="el-GR"/>
        </w:rPr>
        <w:t xml:space="preserve"> ήδη από το 2001</w:t>
      </w:r>
      <w:r w:rsidR="00581A2A">
        <w:rPr>
          <w:rFonts w:ascii="Times New Roman" w:eastAsia="Calibri" w:hAnsi="Times New Roman" w:cs="Times New Roman"/>
          <w:iCs/>
          <w:color w:val="000000" w:themeColor="text1"/>
          <w:sz w:val="24"/>
          <w:szCs w:val="24"/>
          <w:lang w:val="el-GR"/>
        </w:rPr>
        <w:t xml:space="preserve"> (δια του </w:t>
      </w:r>
      <w:r w:rsidR="00581A2A" w:rsidRPr="000819EA">
        <w:rPr>
          <w:rFonts w:ascii="Times New Roman" w:eastAsia="Calibri" w:hAnsi="Times New Roman" w:cs="Times New Roman"/>
          <w:iCs/>
          <w:color w:val="000000" w:themeColor="text1"/>
          <w:sz w:val="24"/>
          <w:szCs w:val="24"/>
          <w:lang w:val="el-GR"/>
        </w:rPr>
        <w:t>ν.2916/2001</w:t>
      </w:r>
      <w:r w:rsidR="00581A2A">
        <w:rPr>
          <w:rFonts w:ascii="Times New Roman" w:eastAsia="Calibri" w:hAnsi="Times New Roman" w:cs="Times New Roman"/>
          <w:iCs/>
          <w:color w:val="000000" w:themeColor="text1"/>
          <w:sz w:val="24"/>
          <w:szCs w:val="24"/>
          <w:lang w:val="el-GR"/>
        </w:rPr>
        <w:t>)</w:t>
      </w:r>
      <w:r w:rsidRPr="000819EA">
        <w:rPr>
          <w:rFonts w:ascii="Times New Roman" w:eastAsia="Calibri" w:hAnsi="Times New Roman" w:cs="Times New Roman"/>
          <w:iCs/>
          <w:color w:val="000000" w:themeColor="text1"/>
          <w:sz w:val="24"/>
          <w:szCs w:val="24"/>
          <w:lang w:val="el-GR"/>
        </w:rPr>
        <w:t xml:space="preserve">. </w:t>
      </w:r>
      <w:r w:rsidR="00581A2A">
        <w:rPr>
          <w:rFonts w:ascii="Times New Roman" w:eastAsia="Calibri" w:hAnsi="Times New Roman" w:cs="Times New Roman"/>
          <w:iCs/>
          <w:color w:val="000000" w:themeColor="text1"/>
          <w:sz w:val="24"/>
          <w:szCs w:val="24"/>
          <w:lang w:val="el-GR"/>
        </w:rPr>
        <w:t xml:space="preserve">Άξιο αναφοράς είναι </w:t>
      </w:r>
      <w:r w:rsidR="00843041">
        <w:rPr>
          <w:rFonts w:ascii="Times New Roman" w:eastAsia="Calibri" w:hAnsi="Times New Roman" w:cs="Times New Roman"/>
          <w:iCs/>
          <w:color w:val="000000" w:themeColor="text1"/>
          <w:sz w:val="24"/>
          <w:szCs w:val="24"/>
          <w:lang w:val="el-GR"/>
        </w:rPr>
        <w:t>οι</w:t>
      </w:r>
      <w:r w:rsidR="00581A2A">
        <w:rPr>
          <w:rFonts w:ascii="Times New Roman" w:eastAsia="Calibri" w:hAnsi="Times New Roman" w:cs="Times New Roman"/>
          <w:iCs/>
          <w:color w:val="000000" w:themeColor="text1"/>
          <w:sz w:val="24"/>
          <w:szCs w:val="24"/>
          <w:lang w:val="el-GR"/>
        </w:rPr>
        <w:t xml:space="preserve"> συνεχ</w:t>
      </w:r>
      <w:r w:rsidR="00843041">
        <w:rPr>
          <w:rFonts w:ascii="Times New Roman" w:eastAsia="Calibri" w:hAnsi="Times New Roman" w:cs="Times New Roman"/>
          <w:iCs/>
          <w:color w:val="000000" w:themeColor="text1"/>
          <w:sz w:val="24"/>
          <w:szCs w:val="24"/>
          <w:lang w:val="el-GR"/>
        </w:rPr>
        <w:t>εί</w:t>
      </w:r>
      <w:r w:rsidR="00581A2A">
        <w:rPr>
          <w:rFonts w:ascii="Times New Roman" w:eastAsia="Calibri" w:hAnsi="Times New Roman" w:cs="Times New Roman"/>
          <w:iCs/>
          <w:color w:val="000000" w:themeColor="text1"/>
          <w:sz w:val="24"/>
          <w:szCs w:val="24"/>
          <w:lang w:val="el-GR"/>
        </w:rPr>
        <w:t>ς νομοθετικ</w:t>
      </w:r>
      <w:r w:rsidR="00843041">
        <w:rPr>
          <w:rFonts w:ascii="Times New Roman" w:eastAsia="Calibri" w:hAnsi="Times New Roman" w:cs="Times New Roman"/>
          <w:iCs/>
          <w:color w:val="000000" w:themeColor="text1"/>
          <w:sz w:val="24"/>
          <w:szCs w:val="24"/>
          <w:lang w:val="el-GR"/>
        </w:rPr>
        <w:t>ές</w:t>
      </w:r>
      <w:r w:rsidR="00581A2A">
        <w:rPr>
          <w:rFonts w:ascii="Times New Roman" w:eastAsia="Calibri" w:hAnsi="Times New Roman" w:cs="Times New Roman"/>
          <w:iCs/>
          <w:color w:val="000000" w:themeColor="text1"/>
          <w:sz w:val="24"/>
          <w:szCs w:val="24"/>
          <w:lang w:val="el-GR"/>
        </w:rPr>
        <w:t xml:space="preserve"> παρ</w:t>
      </w:r>
      <w:r w:rsidR="00843041">
        <w:rPr>
          <w:rFonts w:ascii="Times New Roman" w:eastAsia="Calibri" w:hAnsi="Times New Roman" w:cs="Times New Roman"/>
          <w:iCs/>
          <w:color w:val="000000" w:themeColor="text1"/>
          <w:sz w:val="24"/>
          <w:szCs w:val="24"/>
          <w:lang w:val="el-GR"/>
        </w:rPr>
        <w:t>ε</w:t>
      </w:r>
      <w:r w:rsidR="00581A2A">
        <w:rPr>
          <w:rFonts w:ascii="Times New Roman" w:eastAsia="Calibri" w:hAnsi="Times New Roman" w:cs="Times New Roman"/>
          <w:iCs/>
          <w:color w:val="000000" w:themeColor="text1"/>
          <w:sz w:val="24"/>
          <w:szCs w:val="24"/>
          <w:lang w:val="el-GR"/>
        </w:rPr>
        <w:t>μβ</w:t>
      </w:r>
      <w:r w:rsidR="00843041">
        <w:rPr>
          <w:rFonts w:ascii="Times New Roman" w:eastAsia="Calibri" w:hAnsi="Times New Roman" w:cs="Times New Roman"/>
          <w:iCs/>
          <w:color w:val="000000" w:themeColor="text1"/>
          <w:sz w:val="24"/>
          <w:szCs w:val="24"/>
          <w:lang w:val="el-GR"/>
        </w:rPr>
        <w:t>ά</w:t>
      </w:r>
      <w:r w:rsidR="00581A2A">
        <w:rPr>
          <w:rFonts w:ascii="Times New Roman" w:eastAsia="Calibri" w:hAnsi="Times New Roman" w:cs="Times New Roman"/>
          <w:iCs/>
          <w:color w:val="000000" w:themeColor="text1"/>
          <w:sz w:val="24"/>
          <w:szCs w:val="24"/>
          <w:lang w:val="el-GR"/>
        </w:rPr>
        <w:t>σ</w:t>
      </w:r>
      <w:r w:rsidR="00843041">
        <w:rPr>
          <w:rFonts w:ascii="Times New Roman" w:eastAsia="Calibri" w:hAnsi="Times New Roman" w:cs="Times New Roman"/>
          <w:iCs/>
          <w:color w:val="000000" w:themeColor="text1"/>
          <w:sz w:val="24"/>
          <w:szCs w:val="24"/>
          <w:lang w:val="el-GR"/>
        </w:rPr>
        <w:t>εις</w:t>
      </w:r>
      <w:r w:rsidR="00581A2A">
        <w:rPr>
          <w:rFonts w:ascii="Times New Roman" w:eastAsia="Calibri" w:hAnsi="Times New Roman" w:cs="Times New Roman"/>
          <w:iCs/>
          <w:color w:val="000000" w:themeColor="text1"/>
          <w:sz w:val="24"/>
          <w:szCs w:val="24"/>
          <w:lang w:val="el-GR"/>
        </w:rPr>
        <w:t xml:space="preserve"> που ακολουθ</w:t>
      </w:r>
      <w:r w:rsidR="00843041">
        <w:rPr>
          <w:rFonts w:ascii="Times New Roman" w:eastAsia="Calibri" w:hAnsi="Times New Roman" w:cs="Times New Roman"/>
          <w:iCs/>
          <w:color w:val="000000" w:themeColor="text1"/>
          <w:sz w:val="24"/>
          <w:szCs w:val="24"/>
          <w:lang w:val="el-GR"/>
        </w:rPr>
        <w:t>ούν</w:t>
      </w:r>
      <w:r w:rsidR="00581A2A">
        <w:rPr>
          <w:rFonts w:ascii="Times New Roman" w:eastAsia="Calibri" w:hAnsi="Times New Roman" w:cs="Times New Roman"/>
          <w:iCs/>
          <w:color w:val="000000" w:themeColor="text1"/>
          <w:sz w:val="24"/>
          <w:szCs w:val="24"/>
          <w:lang w:val="el-GR"/>
        </w:rPr>
        <w:t xml:space="preserve"> μετά τον ν.2916/2001 </w:t>
      </w:r>
      <w:r w:rsidR="00843041">
        <w:rPr>
          <w:rFonts w:ascii="Times New Roman" w:eastAsia="Calibri" w:hAnsi="Times New Roman" w:cs="Times New Roman"/>
          <w:iCs/>
          <w:color w:val="000000" w:themeColor="text1"/>
          <w:sz w:val="24"/>
          <w:szCs w:val="24"/>
          <w:lang w:val="el-GR"/>
        </w:rPr>
        <w:t xml:space="preserve">όπως </w:t>
      </w:r>
      <w:r w:rsidRPr="000819EA">
        <w:rPr>
          <w:rFonts w:ascii="Times New Roman" w:eastAsia="Calibri" w:hAnsi="Times New Roman" w:cs="Times New Roman"/>
          <w:iCs/>
          <w:color w:val="000000" w:themeColor="text1"/>
          <w:sz w:val="24"/>
          <w:szCs w:val="24"/>
          <w:lang w:val="el-GR"/>
        </w:rPr>
        <w:t>οι ν</w:t>
      </w:r>
      <w:r w:rsidR="00843041">
        <w:rPr>
          <w:rFonts w:ascii="Times New Roman" w:eastAsia="Calibri" w:hAnsi="Times New Roman" w:cs="Times New Roman"/>
          <w:iCs/>
          <w:color w:val="000000" w:themeColor="text1"/>
          <w:sz w:val="24"/>
          <w:szCs w:val="24"/>
          <w:lang w:val="el-GR"/>
        </w:rPr>
        <w:t>.</w:t>
      </w:r>
      <w:r w:rsidRPr="000819EA">
        <w:rPr>
          <w:rFonts w:ascii="Times New Roman" w:eastAsia="Calibri" w:hAnsi="Times New Roman" w:cs="Times New Roman"/>
          <w:iCs/>
          <w:color w:val="000000" w:themeColor="text1"/>
          <w:sz w:val="24"/>
          <w:szCs w:val="24"/>
          <w:lang w:val="el-GR"/>
        </w:rPr>
        <w:t>3549/2007 και ν</w:t>
      </w:r>
      <w:r w:rsidR="00843041">
        <w:rPr>
          <w:rFonts w:ascii="Times New Roman" w:eastAsia="Calibri" w:hAnsi="Times New Roman" w:cs="Times New Roman"/>
          <w:iCs/>
          <w:color w:val="000000" w:themeColor="text1"/>
          <w:sz w:val="24"/>
          <w:szCs w:val="24"/>
          <w:lang w:val="el-GR"/>
        </w:rPr>
        <w:t>.</w:t>
      </w:r>
      <w:r w:rsidRPr="000819EA">
        <w:rPr>
          <w:rFonts w:ascii="Times New Roman" w:eastAsia="Calibri" w:hAnsi="Times New Roman" w:cs="Times New Roman"/>
          <w:iCs/>
          <w:color w:val="000000" w:themeColor="text1"/>
          <w:sz w:val="24"/>
          <w:szCs w:val="24"/>
          <w:lang w:val="el-GR"/>
        </w:rPr>
        <w:t>4009/2011</w:t>
      </w:r>
      <w:r w:rsidR="00843041">
        <w:rPr>
          <w:rFonts w:ascii="Times New Roman" w:eastAsia="Calibri" w:hAnsi="Times New Roman" w:cs="Times New Roman"/>
          <w:iCs/>
          <w:color w:val="000000" w:themeColor="text1"/>
          <w:sz w:val="24"/>
          <w:szCs w:val="24"/>
          <w:lang w:val="el-GR"/>
        </w:rPr>
        <w:t xml:space="preserve"> που </w:t>
      </w:r>
      <w:r w:rsidRPr="000819EA">
        <w:rPr>
          <w:rFonts w:ascii="Times New Roman" w:eastAsia="Calibri" w:hAnsi="Times New Roman" w:cs="Times New Roman"/>
          <w:iCs/>
          <w:color w:val="000000" w:themeColor="text1"/>
          <w:sz w:val="24"/>
          <w:szCs w:val="24"/>
          <w:lang w:val="el-GR"/>
        </w:rPr>
        <w:t xml:space="preserve">εδραιώνουν τα Τ.Ε.Ι. ως Ανώτατα Εκπαιδευτικά Ιδρύματα. Σύμφωνα µε το ν. 4485/2017,  «στο πλαίσιο της </w:t>
      </w:r>
      <w:r w:rsidRPr="000819EA">
        <w:rPr>
          <w:rFonts w:ascii="Times New Roman" w:eastAsia="Calibri" w:hAnsi="Times New Roman" w:cs="Times New Roman"/>
          <w:iCs/>
          <w:color w:val="000000" w:themeColor="text1"/>
          <w:sz w:val="24"/>
          <w:szCs w:val="24"/>
          <w:lang w:val="el-GR"/>
        </w:rPr>
        <w:lastRenderedPageBreak/>
        <w:t>εκπαιδευτικής αποστολής τους, τα Α.Ε.Ι. (πανεπιστήμια και Τ.Ε.Ι.) παρέχουν ποιοτική και ολοκληρωμένη εκπαίδευση, σύμφωνα µε τις τάσεις της σύγχρονης επιστήμης, της τεχνολογίας και των τεχνών, καθώς και της διεθνούς επιστημονικής πρακτικής. Στο πλαίσιο αυτό, τα Τ.Ε.Ι. εστιάζουν στις εφαρμογές των σύγχρονων επιστημών, της τεχνολογίας και των τεχνών συνδυάζοντας την ανάπτυξη του κατάλληλου θεωρητικού υποβάθρου σπουδών µε την υψηλού επιπέδου εργαστηριακή και πρακτική άσκηση.</w:t>
      </w:r>
      <w:r w:rsidRPr="000819EA">
        <w:rPr>
          <w:rFonts w:ascii="Times New Roman" w:eastAsia="Calibri" w:hAnsi="Times New Roman" w:cs="Times New Roman"/>
          <w:i/>
          <w:color w:val="000000" w:themeColor="text1"/>
          <w:sz w:val="24"/>
          <w:szCs w:val="24"/>
          <w:lang w:val="el-GR"/>
        </w:rPr>
        <w:t xml:space="preserve"> </w:t>
      </w:r>
    </w:p>
    <w:p w14:paraId="13901ED4" w14:textId="77777777" w:rsidR="009B098B" w:rsidRDefault="00136595">
      <w:pPr>
        <w:widowControl/>
        <w:spacing w:line="360" w:lineRule="auto"/>
        <w:jc w:val="both"/>
        <w:rPr>
          <w:rFonts w:eastAsia="Calibri" w:cs="Times New Roman"/>
          <w:iCs/>
          <w:color w:val="000000" w:themeColor="text1"/>
          <w:lang w:val="el-GR"/>
        </w:rPr>
      </w:pPr>
      <w:r w:rsidRPr="000819EA">
        <w:rPr>
          <w:rFonts w:ascii="Times New Roman" w:eastAsia="Calibri" w:hAnsi="Times New Roman" w:cs="Times New Roman"/>
          <w:b/>
          <w:iCs/>
          <w:color w:val="000000" w:themeColor="text1"/>
          <w:sz w:val="24"/>
          <w:szCs w:val="24"/>
          <w:lang w:val="el-GR"/>
        </w:rPr>
        <w:tab/>
        <w:t xml:space="preserve">Συνεπώς, όλα τα Α.Ε.Ι. </w:t>
      </w:r>
      <w:r w:rsidR="00D92F2F">
        <w:rPr>
          <w:rFonts w:ascii="Times New Roman" w:eastAsia="Calibri" w:hAnsi="Times New Roman" w:cs="Times New Roman"/>
          <w:b/>
          <w:iCs/>
          <w:color w:val="000000" w:themeColor="text1"/>
          <w:sz w:val="24"/>
          <w:szCs w:val="24"/>
          <w:lang w:val="el-GR"/>
        </w:rPr>
        <w:t xml:space="preserve">(πανεπιστημιακού και τεχνολογικού τομέα) </w:t>
      </w:r>
      <w:r w:rsidRPr="000819EA">
        <w:rPr>
          <w:rFonts w:ascii="Times New Roman" w:eastAsia="Calibri" w:hAnsi="Times New Roman" w:cs="Times New Roman"/>
          <w:b/>
          <w:iCs/>
          <w:color w:val="000000" w:themeColor="text1"/>
          <w:sz w:val="24"/>
          <w:szCs w:val="24"/>
          <w:lang w:val="el-GR"/>
        </w:rPr>
        <w:t>παρέχουν σπουδές µε υψηλό θεωρητικό υπόβαθρ</w:t>
      </w:r>
      <w:r w:rsidR="00D92F2F">
        <w:rPr>
          <w:rFonts w:ascii="Times New Roman" w:eastAsia="Calibri" w:hAnsi="Times New Roman" w:cs="Times New Roman"/>
          <w:b/>
          <w:iCs/>
          <w:color w:val="000000" w:themeColor="text1"/>
          <w:sz w:val="24"/>
          <w:szCs w:val="24"/>
          <w:lang w:val="el-GR"/>
        </w:rPr>
        <w:t>ο. Ε</w:t>
      </w:r>
      <w:r w:rsidRPr="000819EA">
        <w:rPr>
          <w:rFonts w:ascii="Times New Roman" w:eastAsia="Calibri" w:hAnsi="Times New Roman" w:cs="Times New Roman"/>
          <w:b/>
          <w:iCs/>
          <w:color w:val="000000" w:themeColor="text1"/>
          <w:sz w:val="24"/>
          <w:szCs w:val="24"/>
          <w:lang w:val="el-GR"/>
        </w:rPr>
        <w:t xml:space="preserve">πιπλέον </w:t>
      </w:r>
      <w:r w:rsidR="00D92F2F">
        <w:rPr>
          <w:rFonts w:ascii="Times New Roman" w:eastAsia="Calibri" w:hAnsi="Times New Roman" w:cs="Times New Roman"/>
          <w:b/>
          <w:iCs/>
          <w:color w:val="000000" w:themeColor="text1"/>
          <w:sz w:val="24"/>
          <w:szCs w:val="24"/>
          <w:lang w:val="el-GR"/>
        </w:rPr>
        <w:t>ο Τεχνολογικός Τομέας των Α.Ε.Ι. (</w:t>
      </w:r>
      <w:r w:rsidRPr="000819EA">
        <w:rPr>
          <w:rFonts w:ascii="Times New Roman" w:eastAsia="Calibri" w:hAnsi="Times New Roman" w:cs="Times New Roman"/>
          <w:b/>
          <w:iCs/>
          <w:color w:val="000000" w:themeColor="text1"/>
          <w:sz w:val="24"/>
          <w:szCs w:val="24"/>
          <w:lang w:val="el-GR"/>
        </w:rPr>
        <w:t>Τ.Ε.Ι.</w:t>
      </w:r>
      <w:r w:rsidR="00D92F2F">
        <w:rPr>
          <w:rFonts w:ascii="Times New Roman" w:eastAsia="Calibri" w:hAnsi="Times New Roman" w:cs="Times New Roman"/>
          <w:b/>
          <w:iCs/>
          <w:color w:val="000000" w:themeColor="text1"/>
          <w:sz w:val="24"/>
          <w:szCs w:val="24"/>
          <w:lang w:val="el-GR"/>
        </w:rPr>
        <w:t>)</w:t>
      </w:r>
      <w:r w:rsidRPr="000819EA">
        <w:rPr>
          <w:rFonts w:ascii="Times New Roman" w:eastAsia="Calibri" w:hAnsi="Times New Roman" w:cs="Times New Roman"/>
          <w:b/>
          <w:iCs/>
          <w:color w:val="000000" w:themeColor="text1"/>
          <w:sz w:val="24"/>
          <w:szCs w:val="24"/>
          <w:lang w:val="el-GR"/>
        </w:rPr>
        <w:t>, εστιάζ</w:t>
      </w:r>
      <w:r w:rsidR="00D92F2F">
        <w:rPr>
          <w:rFonts w:ascii="Times New Roman" w:eastAsia="Calibri" w:hAnsi="Times New Roman" w:cs="Times New Roman"/>
          <w:b/>
          <w:iCs/>
          <w:color w:val="000000" w:themeColor="text1"/>
          <w:sz w:val="24"/>
          <w:szCs w:val="24"/>
          <w:lang w:val="el-GR"/>
        </w:rPr>
        <w:t>ει</w:t>
      </w:r>
      <w:r w:rsidRPr="000819EA">
        <w:rPr>
          <w:rFonts w:ascii="Times New Roman" w:eastAsia="Calibri" w:hAnsi="Times New Roman" w:cs="Times New Roman"/>
          <w:b/>
          <w:iCs/>
          <w:color w:val="000000" w:themeColor="text1"/>
          <w:sz w:val="24"/>
          <w:szCs w:val="24"/>
          <w:lang w:val="el-GR"/>
        </w:rPr>
        <w:t xml:space="preserve"> στην εφαρμογή των επιστημών</w:t>
      </w:r>
      <w:r w:rsidRPr="000819EA">
        <w:rPr>
          <w:rFonts w:ascii="Times New Roman" w:eastAsia="Calibri" w:hAnsi="Times New Roman" w:cs="Times New Roman"/>
          <w:iCs/>
          <w:color w:val="000000" w:themeColor="text1"/>
          <w:sz w:val="24"/>
          <w:szCs w:val="24"/>
          <w:lang w:val="el-GR"/>
        </w:rPr>
        <w:t>.</w:t>
      </w:r>
      <w:r w:rsidRPr="000819EA">
        <w:rPr>
          <w:rFonts w:eastAsia="Calibri" w:cs="Times New Roman"/>
          <w:iCs/>
          <w:color w:val="000000" w:themeColor="text1"/>
          <w:lang w:val="el-GR"/>
        </w:rPr>
        <w:t xml:space="preserve"> </w:t>
      </w:r>
    </w:p>
    <w:p w14:paraId="4B6DBF66" w14:textId="07998E2B" w:rsidR="00D92F2F" w:rsidRDefault="006921C0" w:rsidP="009B098B">
      <w:pPr>
        <w:widowControl/>
        <w:spacing w:line="360" w:lineRule="auto"/>
        <w:ind w:firstLine="720"/>
        <w:jc w:val="both"/>
        <w:rPr>
          <w:rFonts w:ascii="Times New Roman" w:eastAsia="Calibri" w:hAnsi="Times New Roman" w:cs="Times New Roman"/>
          <w:b/>
          <w:iCs/>
          <w:color w:val="000000" w:themeColor="text1"/>
          <w:sz w:val="24"/>
          <w:szCs w:val="24"/>
          <w:lang w:val="el-GR"/>
        </w:rPr>
      </w:pPr>
      <w:r>
        <w:rPr>
          <w:rFonts w:ascii="Times New Roman" w:eastAsia="Calibri" w:hAnsi="Times New Roman" w:cs="Times New Roman"/>
          <w:b/>
          <w:iCs/>
          <w:color w:val="000000" w:themeColor="text1"/>
          <w:sz w:val="24"/>
          <w:szCs w:val="24"/>
          <w:lang w:val="el-GR"/>
        </w:rPr>
        <w:t>Σ</w:t>
      </w:r>
      <w:r w:rsidR="00136595" w:rsidRPr="000819EA">
        <w:rPr>
          <w:rFonts w:ascii="Times New Roman" w:eastAsia="Calibri" w:hAnsi="Times New Roman" w:cs="Times New Roman"/>
          <w:b/>
          <w:iCs/>
          <w:color w:val="000000" w:themeColor="text1"/>
          <w:sz w:val="24"/>
          <w:szCs w:val="24"/>
          <w:lang w:val="el-GR"/>
        </w:rPr>
        <w:t xml:space="preserve">το Τ.Ε.Ι. </w:t>
      </w:r>
      <w:r>
        <w:rPr>
          <w:rFonts w:ascii="Times New Roman" w:eastAsia="Calibri" w:hAnsi="Times New Roman" w:cs="Times New Roman"/>
          <w:b/>
          <w:iCs/>
          <w:color w:val="000000" w:themeColor="text1"/>
          <w:sz w:val="24"/>
          <w:szCs w:val="24"/>
          <w:lang w:val="el-GR"/>
        </w:rPr>
        <w:t>Πελοποννήσου</w:t>
      </w:r>
      <w:r w:rsidR="00136595" w:rsidRPr="000819EA">
        <w:rPr>
          <w:rFonts w:ascii="Times New Roman" w:eastAsia="Calibri" w:hAnsi="Times New Roman" w:cs="Times New Roman"/>
          <w:b/>
          <w:iCs/>
          <w:color w:val="000000" w:themeColor="text1"/>
          <w:sz w:val="24"/>
          <w:szCs w:val="24"/>
          <w:lang w:val="el-GR"/>
        </w:rPr>
        <w:t xml:space="preserve"> λειτουργού</w:t>
      </w:r>
      <w:r>
        <w:rPr>
          <w:rFonts w:ascii="Times New Roman" w:eastAsia="Calibri" w:hAnsi="Times New Roman" w:cs="Times New Roman"/>
          <w:b/>
          <w:iCs/>
          <w:color w:val="000000" w:themeColor="text1"/>
          <w:sz w:val="24"/>
          <w:szCs w:val="24"/>
          <w:lang w:val="el-GR"/>
        </w:rPr>
        <w:t>σαν</w:t>
      </w:r>
      <w:r w:rsidR="00136595" w:rsidRPr="000819EA">
        <w:rPr>
          <w:rFonts w:ascii="Times New Roman" w:eastAsia="Calibri" w:hAnsi="Times New Roman" w:cs="Times New Roman"/>
          <w:b/>
          <w:iCs/>
          <w:color w:val="000000" w:themeColor="text1"/>
          <w:sz w:val="24"/>
          <w:szCs w:val="24"/>
          <w:lang w:val="el-GR"/>
        </w:rPr>
        <w:t xml:space="preserve"> πολλά Τμήματα αναγνωρισμένα για την ποιότητα σπουδών που παρέχουν</w:t>
      </w:r>
      <w:r w:rsidR="00D92F2F">
        <w:rPr>
          <w:rFonts w:ascii="Times New Roman" w:eastAsia="Calibri" w:hAnsi="Times New Roman" w:cs="Times New Roman"/>
          <w:b/>
          <w:iCs/>
          <w:color w:val="000000" w:themeColor="text1"/>
          <w:sz w:val="24"/>
          <w:szCs w:val="24"/>
          <w:lang w:val="el-GR"/>
        </w:rPr>
        <w:t xml:space="preserve">. Αυτό μπορεί επίσης να </w:t>
      </w:r>
      <w:r w:rsidR="009B098B">
        <w:rPr>
          <w:rFonts w:ascii="Times New Roman" w:eastAsia="Calibri" w:hAnsi="Times New Roman" w:cs="Times New Roman"/>
          <w:b/>
          <w:iCs/>
          <w:color w:val="000000" w:themeColor="text1"/>
          <w:sz w:val="24"/>
          <w:szCs w:val="24"/>
          <w:lang w:val="el-GR"/>
        </w:rPr>
        <w:t>επιβεβαιωθεί</w:t>
      </w:r>
      <w:r w:rsidR="00D92F2F">
        <w:rPr>
          <w:rFonts w:ascii="Times New Roman" w:eastAsia="Calibri" w:hAnsi="Times New Roman" w:cs="Times New Roman"/>
          <w:b/>
          <w:iCs/>
          <w:color w:val="000000" w:themeColor="text1"/>
          <w:sz w:val="24"/>
          <w:szCs w:val="24"/>
          <w:lang w:val="el-GR"/>
        </w:rPr>
        <w:t xml:space="preserve"> και από την </w:t>
      </w:r>
      <w:r w:rsidR="009B098B">
        <w:rPr>
          <w:rFonts w:ascii="Times New Roman" w:eastAsia="Calibri" w:hAnsi="Times New Roman" w:cs="Times New Roman"/>
          <w:b/>
          <w:iCs/>
          <w:color w:val="000000" w:themeColor="text1"/>
          <w:sz w:val="24"/>
          <w:szCs w:val="24"/>
          <w:lang w:val="el-GR"/>
        </w:rPr>
        <w:t xml:space="preserve">εξωτερική έκθεση </w:t>
      </w:r>
      <w:r w:rsidR="00D92F2F">
        <w:rPr>
          <w:rFonts w:ascii="Times New Roman" w:eastAsia="Calibri" w:hAnsi="Times New Roman" w:cs="Times New Roman"/>
          <w:b/>
          <w:iCs/>
          <w:color w:val="000000" w:themeColor="text1"/>
          <w:sz w:val="24"/>
          <w:szCs w:val="24"/>
          <w:lang w:val="el-GR"/>
        </w:rPr>
        <w:t>αξιολόγηση</w:t>
      </w:r>
      <w:r w:rsidR="009B098B">
        <w:rPr>
          <w:rFonts w:ascii="Times New Roman" w:eastAsia="Calibri" w:hAnsi="Times New Roman" w:cs="Times New Roman"/>
          <w:b/>
          <w:iCs/>
          <w:color w:val="000000" w:themeColor="text1"/>
          <w:sz w:val="24"/>
          <w:szCs w:val="24"/>
          <w:lang w:val="el-GR"/>
        </w:rPr>
        <w:t>ς</w:t>
      </w:r>
      <w:r w:rsidR="00D92F2F" w:rsidRPr="00D92F2F">
        <w:rPr>
          <w:rFonts w:ascii="Times New Roman" w:eastAsia="Calibri" w:hAnsi="Times New Roman" w:cs="Times New Roman"/>
          <w:b/>
          <w:iCs/>
          <w:color w:val="000000" w:themeColor="text1"/>
          <w:sz w:val="24"/>
          <w:szCs w:val="24"/>
          <w:lang w:val="el-GR"/>
        </w:rPr>
        <w:t xml:space="preserve"> </w:t>
      </w:r>
      <w:r w:rsidR="00D92F2F">
        <w:rPr>
          <w:rFonts w:ascii="Times New Roman" w:eastAsia="Calibri" w:hAnsi="Times New Roman" w:cs="Times New Roman"/>
          <w:b/>
          <w:iCs/>
          <w:color w:val="000000" w:themeColor="text1"/>
          <w:sz w:val="24"/>
          <w:szCs w:val="24"/>
          <w:lang w:val="el-GR"/>
        </w:rPr>
        <w:t xml:space="preserve">της </w:t>
      </w:r>
      <w:r w:rsidR="009B098B" w:rsidRPr="009B098B">
        <w:rPr>
          <w:rFonts w:ascii="Times New Roman" w:eastAsia="Calibri" w:hAnsi="Times New Roman" w:cs="Times New Roman"/>
          <w:b/>
          <w:iCs/>
          <w:color w:val="000000" w:themeColor="text1"/>
          <w:sz w:val="24"/>
          <w:szCs w:val="24"/>
          <w:lang w:val="el-GR"/>
        </w:rPr>
        <w:t>ΑΔΙΠ</w:t>
      </w:r>
      <w:r w:rsidR="009B098B">
        <w:rPr>
          <w:rFonts w:ascii="Times New Roman" w:eastAsia="Calibri" w:hAnsi="Times New Roman" w:cs="Times New Roman"/>
          <w:b/>
          <w:iCs/>
          <w:color w:val="000000" w:themeColor="text1"/>
          <w:sz w:val="24"/>
          <w:szCs w:val="24"/>
          <w:lang w:val="el-GR"/>
        </w:rPr>
        <w:t xml:space="preserve"> που συντάχθηκε τον Φεβρουάριο του </w:t>
      </w:r>
      <w:r w:rsidR="009B098B" w:rsidRPr="009B098B">
        <w:rPr>
          <w:rFonts w:ascii="Times New Roman" w:eastAsia="Calibri" w:hAnsi="Times New Roman" w:cs="Times New Roman"/>
          <w:b/>
          <w:iCs/>
          <w:color w:val="000000" w:themeColor="text1"/>
          <w:sz w:val="24"/>
          <w:szCs w:val="24"/>
          <w:lang w:val="el-GR"/>
        </w:rPr>
        <w:t>2016</w:t>
      </w:r>
      <w:r w:rsidR="009B098B">
        <w:rPr>
          <w:rFonts w:ascii="Times New Roman" w:eastAsia="Calibri" w:hAnsi="Times New Roman" w:cs="Times New Roman"/>
          <w:b/>
          <w:iCs/>
          <w:color w:val="000000" w:themeColor="text1"/>
          <w:sz w:val="24"/>
          <w:szCs w:val="24"/>
          <w:lang w:val="el-GR"/>
        </w:rPr>
        <w:t xml:space="preserve"> και που αποδίδει</w:t>
      </w:r>
      <w:r w:rsidR="00AA3FF5" w:rsidRPr="00AA3FF5">
        <w:rPr>
          <w:rFonts w:ascii="Times New Roman" w:eastAsia="Calibri" w:hAnsi="Times New Roman" w:cs="Times New Roman"/>
          <w:b/>
          <w:iCs/>
          <w:color w:val="000000" w:themeColor="text1"/>
          <w:sz w:val="24"/>
          <w:szCs w:val="24"/>
          <w:lang w:val="el-GR"/>
        </w:rPr>
        <w:t xml:space="preserve"> </w:t>
      </w:r>
      <w:r w:rsidR="00AA3FF5">
        <w:rPr>
          <w:rFonts w:ascii="Times New Roman" w:eastAsia="Calibri" w:hAnsi="Times New Roman" w:cs="Times New Roman"/>
          <w:b/>
          <w:iCs/>
          <w:color w:val="000000" w:themeColor="text1"/>
          <w:sz w:val="24"/>
          <w:szCs w:val="24"/>
          <w:lang w:val="el-GR"/>
        </w:rPr>
        <w:t>στο ίδρυμα</w:t>
      </w:r>
      <w:r w:rsidR="009B098B">
        <w:rPr>
          <w:rFonts w:ascii="Times New Roman" w:eastAsia="Calibri" w:hAnsi="Times New Roman" w:cs="Times New Roman"/>
          <w:b/>
          <w:iCs/>
          <w:color w:val="000000" w:themeColor="text1"/>
          <w:sz w:val="24"/>
          <w:szCs w:val="24"/>
          <w:lang w:val="el-GR"/>
        </w:rPr>
        <w:t xml:space="preserve"> τον χαρακτηρισμό «Θετικά –</w:t>
      </w:r>
      <w:r w:rsidR="009B098B" w:rsidRPr="009B098B">
        <w:rPr>
          <w:rFonts w:ascii="Times New Roman" w:eastAsia="Calibri" w:hAnsi="Times New Roman" w:cs="Times New Roman"/>
          <w:b/>
          <w:iCs/>
          <w:color w:val="000000" w:themeColor="text1"/>
          <w:sz w:val="24"/>
          <w:szCs w:val="24"/>
          <w:lang w:val="el-GR"/>
        </w:rPr>
        <w:t xml:space="preserve"> </w:t>
      </w:r>
      <w:r w:rsidR="009B098B">
        <w:rPr>
          <w:rFonts w:ascii="Times New Roman" w:eastAsia="Calibri" w:hAnsi="Times New Roman" w:cs="Times New Roman"/>
          <w:b/>
          <w:iCs/>
          <w:color w:val="000000" w:themeColor="text1"/>
          <w:sz w:val="24"/>
          <w:szCs w:val="24"/>
        </w:rPr>
        <w:t>Positive</w:t>
      </w:r>
      <w:r w:rsidR="009B098B" w:rsidRPr="009B098B">
        <w:rPr>
          <w:rFonts w:ascii="Times New Roman" w:eastAsia="Calibri" w:hAnsi="Times New Roman" w:cs="Times New Roman"/>
          <w:b/>
          <w:iCs/>
          <w:color w:val="000000" w:themeColor="text1"/>
          <w:sz w:val="24"/>
          <w:szCs w:val="24"/>
          <w:lang w:val="el-GR"/>
        </w:rPr>
        <w:t xml:space="preserve"> </w:t>
      </w:r>
      <w:r w:rsidR="009B098B">
        <w:rPr>
          <w:rFonts w:ascii="Times New Roman" w:eastAsia="Calibri" w:hAnsi="Times New Roman" w:cs="Times New Roman"/>
          <w:b/>
          <w:iCs/>
          <w:color w:val="000000" w:themeColor="text1"/>
          <w:sz w:val="24"/>
          <w:szCs w:val="24"/>
        </w:rPr>
        <w:t>Evaluation</w:t>
      </w:r>
      <w:r w:rsidR="009B098B">
        <w:rPr>
          <w:rFonts w:ascii="Times New Roman" w:eastAsia="Calibri" w:hAnsi="Times New Roman" w:cs="Times New Roman"/>
          <w:b/>
          <w:iCs/>
          <w:color w:val="000000" w:themeColor="text1"/>
          <w:sz w:val="24"/>
          <w:szCs w:val="24"/>
          <w:lang w:val="el-GR"/>
        </w:rPr>
        <w:t>»</w:t>
      </w:r>
    </w:p>
    <w:p w14:paraId="0C4A4702" w14:textId="12520996" w:rsidR="00B27D35" w:rsidRDefault="00B27D35" w:rsidP="00AA3FF5">
      <w:pPr>
        <w:widowControl/>
        <w:spacing w:line="360" w:lineRule="auto"/>
        <w:ind w:firstLine="426"/>
        <w:jc w:val="both"/>
        <w:rPr>
          <w:rFonts w:ascii="Times New Roman" w:eastAsia="Calibri" w:hAnsi="Times New Roman" w:cs="Times New Roman"/>
          <w:iCs/>
          <w:color w:val="000000" w:themeColor="text1"/>
          <w:sz w:val="24"/>
          <w:szCs w:val="24"/>
          <w:lang w:val="el-GR"/>
        </w:rPr>
      </w:pPr>
      <w:r>
        <w:rPr>
          <w:rFonts w:ascii="Times New Roman" w:eastAsia="Calibri" w:hAnsi="Times New Roman" w:cs="Times New Roman"/>
          <w:iCs/>
          <w:color w:val="000000" w:themeColor="text1"/>
          <w:sz w:val="24"/>
          <w:szCs w:val="24"/>
          <w:lang w:val="el-GR"/>
        </w:rPr>
        <w:t>Τ</w:t>
      </w:r>
      <w:r w:rsidR="00AA3FF5">
        <w:rPr>
          <w:rFonts w:ascii="Times New Roman" w:eastAsia="Calibri" w:hAnsi="Times New Roman" w:cs="Times New Roman"/>
          <w:iCs/>
          <w:color w:val="000000" w:themeColor="text1"/>
          <w:sz w:val="24"/>
          <w:szCs w:val="24"/>
          <w:lang w:val="el-GR"/>
        </w:rPr>
        <w:t>ο</w:t>
      </w:r>
      <w:r w:rsidR="00136595" w:rsidRPr="000819EA">
        <w:rPr>
          <w:rFonts w:ascii="Times New Roman" w:eastAsia="Calibri" w:hAnsi="Times New Roman" w:cs="Times New Roman"/>
          <w:iCs/>
          <w:color w:val="000000" w:themeColor="text1"/>
          <w:sz w:val="24"/>
          <w:szCs w:val="24"/>
          <w:lang w:val="el-GR"/>
        </w:rPr>
        <w:t xml:space="preserve"> </w:t>
      </w:r>
      <w:r w:rsidR="00225117">
        <w:rPr>
          <w:rFonts w:ascii="Times New Roman" w:eastAsia="Calibri" w:hAnsi="Times New Roman" w:cs="Times New Roman"/>
          <w:iCs/>
          <w:color w:val="000000" w:themeColor="text1"/>
          <w:sz w:val="24"/>
          <w:szCs w:val="24"/>
          <w:lang w:val="el-GR"/>
        </w:rPr>
        <w:t xml:space="preserve">2014 με το νομοσχέδιο Αθηνά, </w:t>
      </w:r>
      <w:r w:rsidR="00EC4C78">
        <w:rPr>
          <w:rFonts w:ascii="Times New Roman" w:eastAsia="Calibri" w:hAnsi="Times New Roman" w:cs="Times New Roman"/>
          <w:iCs/>
          <w:color w:val="000000" w:themeColor="text1"/>
          <w:sz w:val="24"/>
          <w:szCs w:val="24"/>
          <w:lang w:val="el-GR"/>
        </w:rPr>
        <w:t xml:space="preserve">το Τ.Ε.Ι. Καλαμάτας διαμορφώνεται σε </w:t>
      </w:r>
      <w:r w:rsidR="00136595" w:rsidRPr="000819EA">
        <w:rPr>
          <w:rFonts w:ascii="Times New Roman" w:eastAsia="Calibri" w:hAnsi="Times New Roman" w:cs="Times New Roman"/>
          <w:iCs/>
          <w:color w:val="000000" w:themeColor="text1"/>
          <w:sz w:val="24"/>
          <w:szCs w:val="24"/>
          <w:lang w:val="el-GR"/>
        </w:rPr>
        <w:t xml:space="preserve">Τ.Ε.Ι. </w:t>
      </w:r>
      <w:r w:rsidR="00AA3FF5">
        <w:rPr>
          <w:rFonts w:ascii="Times New Roman" w:eastAsia="Calibri" w:hAnsi="Times New Roman" w:cs="Times New Roman"/>
          <w:iCs/>
          <w:color w:val="000000" w:themeColor="text1"/>
          <w:sz w:val="24"/>
          <w:szCs w:val="24"/>
          <w:lang w:val="el-GR"/>
        </w:rPr>
        <w:t>Πελοποννήσου</w:t>
      </w:r>
      <w:r>
        <w:rPr>
          <w:rFonts w:ascii="Times New Roman" w:eastAsia="Calibri" w:hAnsi="Times New Roman" w:cs="Times New Roman"/>
          <w:iCs/>
          <w:color w:val="000000" w:themeColor="text1"/>
          <w:sz w:val="24"/>
          <w:szCs w:val="24"/>
          <w:lang w:val="el-GR"/>
        </w:rPr>
        <w:t xml:space="preserve"> </w:t>
      </w:r>
      <w:r w:rsidR="005D2787">
        <w:rPr>
          <w:rFonts w:ascii="Times New Roman" w:eastAsia="Calibri" w:hAnsi="Times New Roman" w:cs="Times New Roman"/>
          <w:iCs/>
          <w:color w:val="000000" w:themeColor="text1"/>
          <w:sz w:val="24"/>
          <w:szCs w:val="24"/>
          <w:lang w:val="el-GR"/>
        </w:rPr>
        <w:t xml:space="preserve">ως ένα </w:t>
      </w:r>
      <w:r>
        <w:rPr>
          <w:rFonts w:ascii="Times New Roman" w:eastAsia="Calibri" w:hAnsi="Times New Roman" w:cs="Times New Roman"/>
          <w:iCs/>
          <w:color w:val="000000" w:themeColor="text1"/>
          <w:sz w:val="24"/>
          <w:szCs w:val="24"/>
          <w:lang w:val="el-GR"/>
        </w:rPr>
        <w:t xml:space="preserve">ενιαίο Ανώτατο Εκπαιδευτικό Ίδρυμα (Α.Ε.Ι.). </w:t>
      </w:r>
      <w:r w:rsidR="00225117">
        <w:rPr>
          <w:rFonts w:ascii="Times New Roman" w:eastAsia="Calibri" w:hAnsi="Times New Roman" w:cs="Times New Roman"/>
          <w:iCs/>
          <w:color w:val="000000" w:themeColor="text1"/>
          <w:sz w:val="24"/>
          <w:szCs w:val="24"/>
          <w:lang w:val="el-GR"/>
        </w:rPr>
        <w:t xml:space="preserve"> Συνεπώς το ίδρυμα όσο και τα τμήματα που λειτουργούσαν εντός αυτού είχαν οργανωθεί με νόμο σχετικά πρόσφατα</w:t>
      </w:r>
      <w:r w:rsidR="00A76C62">
        <w:rPr>
          <w:rFonts w:ascii="Times New Roman" w:eastAsia="Calibri" w:hAnsi="Times New Roman" w:cs="Times New Roman"/>
          <w:iCs/>
          <w:color w:val="000000" w:themeColor="text1"/>
          <w:sz w:val="24"/>
          <w:szCs w:val="24"/>
          <w:lang w:val="el-GR"/>
        </w:rPr>
        <w:t xml:space="preserve">. </w:t>
      </w:r>
    </w:p>
    <w:p w14:paraId="55C07693" w14:textId="592023EB" w:rsidR="00B27D35" w:rsidRDefault="00044621" w:rsidP="00AA3FF5">
      <w:pPr>
        <w:widowControl/>
        <w:spacing w:line="360" w:lineRule="auto"/>
        <w:ind w:firstLine="426"/>
        <w:jc w:val="both"/>
        <w:rPr>
          <w:rFonts w:ascii="Times New Roman" w:eastAsia="Calibri" w:hAnsi="Times New Roman" w:cs="Times New Roman"/>
          <w:iCs/>
          <w:color w:val="000000" w:themeColor="text1"/>
          <w:sz w:val="24"/>
          <w:szCs w:val="24"/>
          <w:lang w:val="el-GR"/>
        </w:rPr>
      </w:pPr>
      <w:r>
        <w:rPr>
          <w:rFonts w:ascii="Times New Roman" w:eastAsia="Calibri" w:hAnsi="Times New Roman" w:cs="Times New Roman"/>
          <w:iCs/>
          <w:color w:val="000000" w:themeColor="text1"/>
          <w:sz w:val="24"/>
          <w:szCs w:val="24"/>
          <w:lang w:val="el-GR"/>
        </w:rPr>
        <w:t>Παρόλα αυτά κι ενώ της σχετικά πρόσφατης διάρθρωσης των τμημάτων του ιδρύματος και της ανώτατης εκπαίδευσης συνολικά μέσα από το νομοσχέδιο Αθηνά, έρχεται επιπλέον νέος νόμος που καταργεί πλήρως τ</w:t>
      </w:r>
      <w:r w:rsidR="00712337">
        <w:rPr>
          <w:rFonts w:ascii="Times New Roman" w:eastAsia="Calibri" w:hAnsi="Times New Roman" w:cs="Times New Roman"/>
          <w:iCs/>
          <w:color w:val="000000" w:themeColor="text1"/>
          <w:sz w:val="24"/>
          <w:szCs w:val="24"/>
          <w:lang w:val="el-GR"/>
        </w:rPr>
        <w:t>ον τεχνολογικό τομέα της ανώτατης εκπαίδευσης και συνεπώς όλα τα τμήματα που λειτουργούσαν εντός του ιδρύματος.</w:t>
      </w:r>
    </w:p>
    <w:p w14:paraId="0382D270" w14:textId="188F4E68" w:rsidR="00A10E8E" w:rsidRPr="000819EA" w:rsidRDefault="00407AB3" w:rsidP="00AA3FF5">
      <w:pPr>
        <w:widowControl/>
        <w:spacing w:line="360" w:lineRule="auto"/>
        <w:ind w:firstLine="426"/>
        <w:jc w:val="both"/>
        <w:rPr>
          <w:rFonts w:ascii="Times New Roman" w:eastAsia="Calibri" w:hAnsi="Times New Roman" w:cs="Times New Roman"/>
          <w:b/>
          <w:color w:val="000000" w:themeColor="text1"/>
          <w:sz w:val="24"/>
          <w:szCs w:val="24"/>
          <w:lang w:val="el-GR"/>
        </w:rPr>
      </w:pPr>
      <w:r>
        <w:rPr>
          <w:rFonts w:ascii="Times New Roman" w:eastAsia="Calibri" w:hAnsi="Times New Roman" w:cs="Times New Roman"/>
          <w:iCs/>
          <w:color w:val="000000" w:themeColor="text1"/>
          <w:sz w:val="24"/>
          <w:szCs w:val="24"/>
          <w:lang w:val="el-GR"/>
        </w:rPr>
        <w:t>Β</w:t>
      </w:r>
      <w:r w:rsidRPr="000819EA">
        <w:rPr>
          <w:rFonts w:ascii="Times New Roman" w:eastAsia="Calibri" w:hAnsi="Times New Roman" w:cs="Times New Roman"/>
          <w:iCs/>
          <w:color w:val="000000" w:themeColor="text1"/>
          <w:sz w:val="24"/>
          <w:szCs w:val="24"/>
          <w:lang w:val="el-GR"/>
        </w:rPr>
        <w:t>άση τη</w:t>
      </w:r>
      <w:r>
        <w:rPr>
          <w:rFonts w:ascii="Times New Roman" w:eastAsia="Calibri" w:hAnsi="Times New Roman" w:cs="Times New Roman"/>
          <w:iCs/>
          <w:color w:val="000000" w:themeColor="text1"/>
          <w:sz w:val="24"/>
          <w:szCs w:val="24"/>
          <w:lang w:val="el-GR"/>
        </w:rPr>
        <w:t>ς</w:t>
      </w:r>
      <w:r w:rsidRPr="000819EA">
        <w:rPr>
          <w:rFonts w:ascii="Times New Roman" w:eastAsia="Calibri" w:hAnsi="Times New Roman" w:cs="Times New Roman"/>
          <w:iCs/>
          <w:color w:val="000000" w:themeColor="text1"/>
          <w:sz w:val="24"/>
          <w:szCs w:val="24"/>
          <w:lang w:val="el-GR"/>
        </w:rPr>
        <w:t xml:space="preserve"> αιτιολογική</w:t>
      </w:r>
      <w:r>
        <w:rPr>
          <w:rFonts w:ascii="Times New Roman" w:eastAsia="Calibri" w:hAnsi="Times New Roman" w:cs="Times New Roman"/>
          <w:iCs/>
          <w:color w:val="000000" w:themeColor="text1"/>
          <w:sz w:val="24"/>
          <w:szCs w:val="24"/>
          <w:lang w:val="el-GR"/>
        </w:rPr>
        <w:t>ς</w:t>
      </w:r>
      <w:r w:rsidRPr="000819EA">
        <w:rPr>
          <w:rFonts w:ascii="Times New Roman" w:eastAsia="Calibri" w:hAnsi="Times New Roman" w:cs="Times New Roman"/>
          <w:iCs/>
          <w:color w:val="000000" w:themeColor="text1"/>
          <w:sz w:val="24"/>
          <w:szCs w:val="24"/>
          <w:lang w:val="el-GR"/>
        </w:rPr>
        <w:t xml:space="preserve"> </w:t>
      </w:r>
      <w:r>
        <w:rPr>
          <w:rFonts w:ascii="Times New Roman" w:eastAsia="Calibri" w:hAnsi="Times New Roman" w:cs="Times New Roman"/>
          <w:iCs/>
          <w:color w:val="000000" w:themeColor="text1"/>
          <w:sz w:val="24"/>
          <w:szCs w:val="24"/>
          <w:lang w:val="el-GR"/>
        </w:rPr>
        <w:t>εκθέσεως του ν.4610/2019 και π</w:t>
      </w:r>
      <w:r w:rsidR="00136595" w:rsidRPr="000819EA">
        <w:rPr>
          <w:rFonts w:ascii="Times New Roman" w:eastAsia="Calibri" w:hAnsi="Times New Roman" w:cs="Times New Roman"/>
          <w:iCs/>
          <w:color w:val="000000" w:themeColor="text1"/>
          <w:sz w:val="24"/>
          <w:szCs w:val="24"/>
          <w:lang w:val="el-GR"/>
        </w:rPr>
        <w:t>αρά το γεγονός ότι</w:t>
      </w:r>
      <w:r w:rsidR="00712337">
        <w:rPr>
          <w:rFonts w:ascii="Times New Roman" w:eastAsia="Calibri" w:hAnsi="Times New Roman" w:cs="Times New Roman"/>
          <w:iCs/>
          <w:color w:val="000000" w:themeColor="text1"/>
          <w:sz w:val="24"/>
          <w:szCs w:val="24"/>
          <w:lang w:val="el-GR"/>
        </w:rPr>
        <w:t xml:space="preserve"> </w:t>
      </w:r>
      <w:r>
        <w:rPr>
          <w:rFonts w:ascii="Times New Roman" w:eastAsia="Calibri" w:hAnsi="Times New Roman" w:cs="Times New Roman"/>
          <w:iCs/>
          <w:color w:val="000000" w:themeColor="text1"/>
          <w:sz w:val="24"/>
          <w:szCs w:val="24"/>
          <w:lang w:val="el-GR"/>
        </w:rPr>
        <w:t xml:space="preserve">στο Τ.Ε.Ι. Πελοποννήσου υπήρχαν </w:t>
      </w:r>
      <w:r w:rsidR="00712337">
        <w:rPr>
          <w:rFonts w:ascii="Times New Roman" w:eastAsia="Calibri" w:hAnsi="Times New Roman" w:cs="Times New Roman"/>
          <w:iCs/>
          <w:color w:val="000000" w:themeColor="text1"/>
          <w:sz w:val="24"/>
          <w:szCs w:val="24"/>
          <w:lang w:val="el-GR"/>
        </w:rPr>
        <w:t>αρκετά τμήματα</w:t>
      </w:r>
      <w:r w:rsidR="00136595" w:rsidRPr="000819EA">
        <w:rPr>
          <w:rFonts w:ascii="Times New Roman" w:eastAsia="Calibri" w:hAnsi="Times New Roman" w:cs="Times New Roman"/>
          <w:iCs/>
          <w:color w:val="000000" w:themeColor="text1"/>
          <w:sz w:val="24"/>
          <w:szCs w:val="24"/>
          <w:lang w:val="el-GR"/>
        </w:rPr>
        <w:t xml:space="preserve"> θεράπευαν γνωστικά αντικείμενα που ήταν χρήσιμα για την τοπική κοινότη</w:t>
      </w:r>
      <w:r>
        <w:rPr>
          <w:rFonts w:ascii="Times New Roman" w:eastAsia="Calibri" w:hAnsi="Times New Roman" w:cs="Times New Roman"/>
          <w:iCs/>
          <w:color w:val="000000" w:themeColor="text1"/>
          <w:sz w:val="24"/>
          <w:szCs w:val="24"/>
          <w:lang w:val="el-GR"/>
        </w:rPr>
        <w:t>τα,</w:t>
      </w:r>
      <w:r w:rsidR="00136595" w:rsidRPr="000819EA">
        <w:rPr>
          <w:rFonts w:ascii="Times New Roman" w:eastAsia="Calibri" w:hAnsi="Times New Roman" w:cs="Times New Roman"/>
          <w:iCs/>
          <w:color w:val="000000" w:themeColor="text1"/>
          <w:sz w:val="24"/>
          <w:szCs w:val="24"/>
          <w:lang w:val="el-GR"/>
        </w:rPr>
        <w:t xml:space="preserve"> διατυπώνεται πως έπρεπε να κλείσουν άρδην</w:t>
      </w:r>
      <w:r>
        <w:rPr>
          <w:rFonts w:ascii="Times New Roman" w:eastAsia="Calibri" w:hAnsi="Times New Roman" w:cs="Times New Roman"/>
          <w:iCs/>
          <w:color w:val="000000" w:themeColor="text1"/>
          <w:sz w:val="24"/>
          <w:szCs w:val="24"/>
          <w:lang w:val="el-GR"/>
        </w:rPr>
        <w:t xml:space="preserve"> καθότι </w:t>
      </w:r>
      <w:r w:rsidR="00136595" w:rsidRPr="000819EA">
        <w:rPr>
          <w:rFonts w:ascii="Times New Roman" w:eastAsia="Calibri" w:hAnsi="Times New Roman" w:cs="Times New Roman"/>
          <w:iCs/>
          <w:color w:val="000000" w:themeColor="text1"/>
          <w:sz w:val="24"/>
          <w:szCs w:val="24"/>
          <w:lang w:val="el-GR"/>
        </w:rPr>
        <w:t xml:space="preserve">η Τεχνολογική Εκπαίδευση «δεν ανταποκρίνονταν» στις διεθνείς και ακαδημαϊκές ανάγκες. Συνεπώς από την αιτιολογική έκθεση του ν. 4610/2019 αντιλαμβάνεται κάποιος ότι με αυτά τα δεδομένα, κρίθηκε αναγκαία η κατάργηση του Τ.Ε.Ι. </w:t>
      </w:r>
      <w:r>
        <w:rPr>
          <w:rFonts w:ascii="Times New Roman" w:eastAsia="Calibri" w:hAnsi="Times New Roman" w:cs="Times New Roman"/>
          <w:iCs/>
          <w:color w:val="000000" w:themeColor="text1"/>
          <w:sz w:val="24"/>
          <w:szCs w:val="24"/>
          <w:lang w:val="el-GR"/>
        </w:rPr>
        <w:t>Πελοποννήσου</w:t>
      </w:r>
      <w:r w:rsidR="00136595" w:rsidRPr="000819EA">
        <w:rPr>
          <w:rFonts w:ascii="Times New Roman" w:eastAsia="Calibri" w:hAnsi="Times New Roman" w:cs="Times New Roman"/>
          <w:iCs/>
          <w:color w:val="000000" w:themeColor="text1"/>
          <w:sz w:val="24"/>
          <w:szCs w:val="24"/>
          <w:lang w:val="el-GR"/>
        </w:rPr>
        <w:t>, ώστε µε το ικανό προσωπικό και τις υποδομές του να</w:t>
      </w:r>
      <w:r>
        <w:rPr>
          <w:rFonts w:ascii="Times New Roman" w:eastAsia="Calibri" w:hAnsi="Times New Roman" w:cs="Times New Roman"/>
          <w:iCs/>
          <w:color w:val="000000" w:themeColor="text1"/>
          <w:sz w:val="24"/>
          <w:szCs w:val="24"/>
          <w:lang w:val="el-GR"/>
        </w:rPr>
        <w:t xml:space="preserve"> ενσωματωθεί στο Πανεπιστήμιο Πελοποννήσου</w:t>
      </w:r>
      <w:r w:rsidR="00136595" w:rsidRPr="000819EA">
        <w:rPr>
          <w:rFonts w:ascii="Times New Roman" w:eastAsia="Calibri" w:hAnsi="Times New Roman" w:cs="Times New Roman"/>
          <w:iCs/>
          <w:color w:val="000000" w:themeColor="text1"/>
          <w:sz w:val="24"/>
          <w:szCs w:val="24"/>
          <w:lang w:val="el-GR"/>
        </w:rPr>
        <w:t xml:space="preserve"> δια της απορροφήσεως του πρώτου. </w:t>
      </w:r>
    </w:p>
    <w:p w14:paraId="4CCFB408" w14:textId="45B5D3AE" w:rsidR="00A10E8E" w:rsidRPr="000819EA" w:rsidRDefault="00136595">
      <w:pPr>
        <w:widowControl/>
        <w:spacing w:line="360" w:lineRule="auto"/>
        <w:ind w:firstLine="426"/>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 xml:space="preserve">Παρόλα αυτά καθίσταται σαφές ότι συντελείται μια </w:t>
      </w:r>
      <w:r w:rsidRPr="000819EA">
        <w:rPr>
          <w:rFonts w:ascii="Times New Roman" w:eastAsia="Calibri" w:hAnsi="Times New Roman" w:cs="Times New Roman"/>
          <w:b/>
          <w:color w:val="000000" w:themeColor="text1"/>
          <w:sz w:val="24"/>
          <w:szCs w:val="24"/>
          <w:u w:val="single"/>
          <w:lang w:val="el-GR"/>
        </w:rPr>
        <w:t>αναδιοργάνωση</w:t>
      </w:r>
      <w:r w:rsidRPr="000819EA">
        <w:rPr>
          <w:rFonts w:ascii="Times New Roman" w:eastAsia="Calibri" w:hAnsi="Times New Roman" w:cs="Times New Roman"/>
          <w:b/>
          <w:color w:val="000000" w:themeColor="text1"/>
          <w:sz w:val="24"/>
          <w:szCs w:val="24"/>
          <w:lang w:val="el-GR"/>
        </w:rPr>
        <w:t xml:space="preserve"> (συγχώνευση ή κατάργηση)</w:t>
      </w:r>
      <w:r w:rsidR="00F70BE2">
        <w:rPr>
          <w:rFonts w:ascii="Times New Roman" w:eastAsia="Calibri" w:hAnsi="Times New Roman" w:cs="Times New Roman"/>
          <w:b/>
          <w:color w:val="000000" w:themeColor="text1"/>
          <w:sz w:val="24"/>
          <w:szCs w:val="24"/>
          <w:lang w:val="el-GR"/>
        </w:rPr>
        <w:t xml:space="preserve"> ενός Α.Ε.Ι. (και των τμημάτων αυτού) σε ένα άλλο Α.Ε.Ι.,</w:t>
      </w:r>
      <w:r w:rsidR="00F70BE2" w:rsidRPr="000819EA">
        <w:rPr>
          <w:rFonts w:ascii="Times New Roman" w:eastAsia="Calibri" w:hAnsi="Times New Roman" w:cs="Times New Roman"/>
          <w:b/>
          <w:color w:val="000000" w:themeColor="text1"/>
          <w:sz w:val="24"/>
          <w:szCs w:val="24"/>
          <w:lang w:val="el-GR"/>
        </w:rPr>
        <w:t xml:space="preserve"> </w:t>
      </w:r>
      <w:r w:rsidRPr="000819EA">
        <w:rPr>
          <w:rFonts w:ascii="Times New Roman" w:eastAsia="Calibri" w:hAnsi="Times New Roman" w:cs="Times New Roman"/>
          <w:b/>
          <w:color w:val="000000" w:themeColor="text1"/>
          <w:sz w:val="24"/>
          <w:szCs w:val="24"/>
          <w:lang w:val="el-GR"/>
        </w:rPr>
        <w:t xml:space="preserve">ως είθισται άλλωστε να γίνεται διαχρονικά, πέραν των υφιστάμενων εθνικών αναγκών, σε διεθνές επίπεδο, σε </w:t>
      </w:r>
      <w:r w:rsidR="00F70BE2">
        <w:rPr>
          <w:rFonts w:ascii="Times New Roman" w:eastAsia="Calibri" w:hAnsi="Times New Roman" w:cs="Times New Roman"/>
          <w:b/>
          <w:color w:val="000000" w:themeColor="text1"/>
          <w:sz w:val="24"/>
          <w:szCs w:val="24"/>
          <w:lang w:val="el-GR"/>
        </w:rPr>
        <w:t>Α.Ε.Ι.,</w:t>
      </w:r>
      <w:r w:rsidRPr="000819EA">
        <w:rPr>
          <w:rFonts w:ascii="Times New Roman" w:eastAsia="Calibri" w:hAnsi="Times New Roman" w:cs="Times New Roman"/>
          <w:b/>
          <w:color w:val="000000" w:themeColor="text1"/>
          <w:sz w:val="24"/>
          <w:szCs w:val="24"/>
          <w:lang w:val="el-GR"/>
        </w:rPr>
        <w:t xml:space="preserve"> που αφουγκράζονται και ακολουθούν τις  επιστημονικές, ακαδημαϊκές και  κοινωνικές εξελίξεις)  </w:t>
      </w:r>
      <w:r w:rsidRPr="000819EA">
        <w:rPr>
          <w:rFonts w:ascii="Times New Roman" w:eastAsia="Calibri" w:hAnsi="Times New Roman" w:cs="Times New Roman"/>
          <w:b/>
          <w:color w:val="000000" w:themeColor="text1"/>
          <w:sz w:val="24"/>
          <w:szCs w:val="24"/>
          <w:u w:val="single"/>
          <w:lang w:val="el-GR"/>
        </w:rPr>
        <w:t>και όχι για αναβάθμιση σε κάτι ανώτερο</w:t>
      </w:r>
      <w:r w:rsidRPr="000819EA">
        <w:rPr>
          <w:rFonts w:ascii="Times New Roman" w:eastAsia="Calibri" w:hAnsi="Times New Roman" w:cs="Times New Roman"/>
          <w:b/>
          <w:color w:val="000000" w:themeColor="text1"/>
          <w:sz w:val="24"/>
          <w:szCs w:val="24"/>
          <w:lang w:val="el-GR"/>
        </w:rPr>
        <w:t xml:space="preserve"> όπως </w:t>
      </w:r>
      <w:r w:rsidRPr="000819EA">
        <w:rPr>
          <w:rFonts w:ascii="Times New Roman" w:eastAsia="Calibri" w:hAnsi="Times New Roman" w:cs="Times New Roman"/>
          <w:b/>
          <w:color w:val="000000" w:themeColor="text1"/>
          <w:sz w:val="24"/>
          <w:szCs w:val="24"/>
          <w:lang w:val="el-GR"/>
        </w:rPr>
        <w:lastRenderedPageBreak/>
        <w:t>αφήνεται να εννοηθεί για λόγους άγνωστους τόσο από  κάποιες κυβερνήσεις του παρελθόντος όσο και από διάφορες συντεχνιακές εστίες.</w:t>
      </w:r>
      <w:r w:rsidRPr="000819EA">
        <w:rPr>
          <w:rFonts w:eastAsia="Calibri" w:cs="Times New Roman"/>
          <w:color w:val="000000" w:themeColor="text1"/>
          <w:lang w:val="el-GR"/>
        </w:rPr>
        <w:t xml:space="preserve"> </w:t>
      </w:r>
    </w:p>
    <w:p w14:paraId="573A6A3A" w14:textId="77777777" w:rsidR="00A10E8E" w:rsidRPr="000819EA" w:rsidRDefault="00136595">
      <w:pPr>
        <w:widowControl/>
        <w:spacing w:line="360" w:lineRule="auto"/>
        <w:ind w:firstLine="426"/>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σύμφωνα με το πρώτο εδάφιο της περίπτωσης α’ της παρ. 2 του άρθρου 30 του Ν. 4009/2011 όπως έχει αντικατασταθεί και ισχύει σήμερα «</w:t>
      </w:r>
      <w:r w:rsidRPr="000819EA">
        <w:rPr>
          <w:rFonts w:ascii="Times New Roman" w:eastAsia="Calibri" w:hAnsi="Times New Roman" w:cs="Times New Roman"/>
          <w:i/>
          <w:color w:val="000000" w:themeColor="text1"/>
          <w:sz w:val="24"/>
          <w:szCs w:val="24"/>
          <w:lang w:val="el-GR"/>
        </w:rPr>
        <w:t xml:space="preserve">Ο πρώτος κύκλος σπουδών συνίσταται στην παρακολούθηση ενός προγράμματος σπουδών, περιλαμβάνει μαθήματα που αντιστοιχούν κατ’ ελάχιστο σε </w:t>
      </w:r>
      <w:r w:rsidRPr="000819EA">
        <w:rPr>
          <w:rFonts w:ascii="Times New Roman" w:eastAsia="Calibri" w:hAnsi="Times New Roman" w:cs="Times New Roman"/>
          <w:b/>
          <w:i/>
          <w:color w:val="000000" w:themeColor="text1"/>
          <w:sz w:val="24"/>
          <w:szCs w:val="24"/>
          <w:lang w:val="el-GR"/>
        </w:rPr>
        <w:t>240 πιστωτικές μονάδες και ολοκληρώνεται με την απονομή τίτλου σπουδών επιπέδου 6 του Εθνικού και Ευρωπαϊκού Πλαισίου Προσόντων</w:t>
      </w:r>
      <w:r w:rsidRPr="000819EA">
        <w:rPr>
          <w:rFonts w:ascii="Times New Roman" w:eastAsia="Calibri" w:hAnsi="Times New Roman" w:cs="Times New Roman"/>
          <w:color w:val="000000" w:themeColor="text1"/>
          <w:sz w:val="24"/>
          <w:szCs w:val="24"/>
          <w:lang w:val="el-GR"/>
        </w:rPr>
        <w:t>». Κατόπιν αυτού, είναι σαφές ότι τα πτυχία των Τ.Ε.Ι. και των Πανεπιστημίων είναι απολύτως ισότιμα.</w:t>
      </w:r>
    </w:p>
    <w:p w14:paraId="770A0C4F" w14:textId="77777777" w:rsidR="00A10E8E" w:rsidRPr="000819EA" w:rsidRDefault="00136595">
      <w:pPr>
        <w:widowControl/>
        <w:spacing w:line="360" w:lineRule="auto"/>
        <w:ind w:firstLine="426"/>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 xml:space="preserve">Επειδή </w:t>
      </w:r>
      <w:r w:rsidRPr="000819EA">
        <w:rPr>
          <w:rFonts w:ascii="Times New Roman" w:eastAsia="Calibri" w:hAnsi="Times New Roman" w:cs="Times New Roman"/>
          <w:color w:val="000000" w:themeColor="text1"/>
          <w:sz w:val="24"/>
          <w:szCs w:val="24"/>
          <w:lang w:val="el-GR"/>
        </w:rPr>
        <w:t>βάσει επίσημων εθνικών δηλώσεων των Α.Ε.Ι. Τ.Τ. στην Ε.Ε. ως ιδρύματα προγραμμάτων σπουδών ακαδημαϊκού προσανατολισμού καθίσταται σαφές ότι τα πτυχία των Τ.Ε.Ι. και των Πανεπιστημίων είναι απολύτως ισότιμα ως προς όλες τις συνέπειες.</w:t>
      </w:r>
    </w:p>
    <w:p w14:paraId="5787195A" w14:textId="77777777" w:rsidR="00A10E8E" w:rsidRPr="000819EA" w:rsidRDefault="00136595">
      <w:pPr>
        <w:widowControl/>
        <w:spacing w:line="360" w:lineRule="auto"/>
        <w:ind w:firstLine="426"/>
        <w:jc w:val="both"/>
        <w:rPr>
          <w:rFonts w:ascii="Times New Roman" w:eastAsia="Calibri" w:hAnsi="Times New Roman" w:cs="Times New Roman"/>
          <w:b/>
          <w:color w:val="000000" w:themeColor="text1"/>
          <w:sz w:val="24"/>
          <w:szCs w:val="24"/>
        </w:rPr>
      </w:pPr>
      <w:r w:rsidRPr="000819EA">
        <w:rPr>
          <w:rFonts w:ascii="Times New Roman" w:eastAsia="Calibri" w:hAnsi="Times New Roman" w:cs="Times New Roman"/>
          <w:b/>
          <w:color w:val="000000" w:themeColor="text1"/>
          <w:sz w:val="24"/>
          <w:szCs w:val="24"/>
          <w:lang w:val="el-GR"/>
        </w:rPr>
        <w:t xml:space="preserve">Επειδή </w:t>
      </w:r>
      <w:r w:rsidRPr="000819EA">
        <w:rPr>
          <w:rFonts w:ascii="Times New Roman" w:eastAsia="Calibri" w:hAnsi="Times New Roman" w:cs="Times New Roman"/>
          <w:color w:val="000000" w:themeColor="text1"/>
          <w:sz w:val="24"/>
          <w:szCs w:val="24"/>
          <w:lang w:val="el-GR"/>
        </w:rPr>
        <w:t>βάσει των διεθνών ακαδημαϊκών προτύπων, κατηγοριοποιήσεων και ορισμών (</w:t>
      </w:r>
      <w:r w:rsidRPr="000819EA">
        <w:rPr>
          <w:rFonts w:ascii="Times New Roman" w:eastAsia="Calibri" w:hAnsi="Times New Roman" w:cs="Times New Roman"/>
          <w:color w:val="000000" w:themeColor="text1"/>
          <w:sz w:val="24"/>
          <w:szCs w:val="24"/>
        </w:rPr>
        <w:t>UNESCO</w:t>
      </w:r>
      <w:r w:rsidRPr="000819EA">
        <w:rPr>
          <w:rFonts w:ascii="Times New Roman" w:eastAsia="Calibri" w:hAnsi="Times New Roman" w:cs="Times New Roman"/>
          <w:color w:val="000000" w:themeColor="text1"/>
          <w:sz w:val="24"/>
          <w:szCs w:val="24"/>
          <w:lang w:val="el-GR"/>
        </w:rPr>
        <w:t xml:space="preserve"> ISCED 2011) ως προγράμματα σπουδών 6</w:t>
      </w:r>
      <w:r w:rsidRPr="000819EA">
        <w:rPr>
          <w:rFonts w:ascii="Times New Roman" w:eastAsia="Calibri" w:hAnsi="Times New Roman" w:cs="Times New Roman"/>
          <w:color w:val="000000" w:themeColor="text1"/>
          <w:sz w:val="24"/>
          <w:szCs w:val="24"/>
          <w:vertAlign w:val="superscript"/>
          <w:lang w:val="el-GR"/>
        </w:rPr>
        <w:t>ης</w:t>
      </w:r>
      <w:r w:rsidRPr="000819EA">
        <w:rPr>
          <w:rFonts w:ascii="Times New Roman" w:eastAsia="Calibri" w:hAnsi="Times New Roman" w:cs="Times New Roman"/>
          <w:color w:val="000000" w:themeColor="text1"/>
          <w:sz w:val="24"/>
          <w:szCs w:val="24"/>
          <w:lang w:val="el-GR"/>
        </w:rPr>
        <w:t xml:space="preserve">  βαθμίδας, επιπέδου </w:t>
      </w:r>
      <w:r w:rsidRPr="000819EA">
        <w:rPr>
          <w:rFonts w:ascii="Times New Roman" w:eastAsia="Calibri" w:hAnsi="Times New Roman" w:cs="Times New Roman"/>
          <w:color w:val="000000" w:themeColor="text1"/>
          <w:sz w:val="24"/>
          <w:szCs w:val="24"/>
        </w:rPr>
        <w:t>Bachelor</w:t>
      </w:r>
      <w:r w:rsidRPr="000819EA">
        <w:rPr>
          <w:rFonts w:ascii="Times New Roman" w:eastAsia="Calibri" w:hAnsi="Times New Roman" w:cs="Times New Roman"/>
          <w:color w:val="000000" w:themeColor="text1"/>
          <w:sz w:val="24"/>
          <w:szCs w:val="24"/>
          <w:lang w:val="el-GR"/>
        </w:rPr>
        <w:t xml:space="preserve">, ορίζονται αυτά που έχουν είτε εξ’ ολοκλήρου θεωρητική βάση είτε θεωρητική βάση με στοιχεία εφαρμογής και συμπληρώνονται από υψηλού επιπέδου έρευνα ή/και από υψηλού επιπέδου επαγγελματική πρακτική. </w:t>
      </w:r>
      <w:r w:rsidRPr="000819EA">
        <w:rPr>
          <w:rFonts w:ascii="Times New Roman" w:eastAsia="Calibri" w:hAnsi="Times New Roman" w:cs="Times New Roman"/>
          <w:color w:val="000000" w:themeColor="text1"/>
          <w:sz w:val="24"/>
          <w:szCs w:val="24"/>
        </w:rPr>
        <w:t>“</w:t>
      </w:r>
      <w:r w:rsidRPr="000819EA">
        <w:rPr>
          <w:rFonts w:ascii="Times New Roman" w:eastAsia="Calibri" w:hAnsi="Times New Roman" w:cs="Times New Roman"/>
          <w:i/>
          <w:color w:val="000000" w:themeColor="text1"/>
          <w:sz w:val="24"/>
          <w:szCs w:val="24"/>
        </w:rPr>
        <w:t>Programmes at ISCED level 6, or Bachelor’s or equivalent level, are often designed to provide participants with intermediate academic and/or professional knowledge, skills and competencies, leading to a first degree or equivalent qualification. Programmes at this level are typically theoretically-based but may include practical components and are informed by state-of-the-art research and/or best professional practice. They are traditionally offered by universities and equivalent tertiary educational institutions.”</w:t>
      </w:r>
    </w:p>
    <w:p w14:paraId="74E465D6" w14:textId="2ECF301C" w:rsidR="00A10E8E" w:rsidRPr="000819EA" w:rsidRDefault="00136595">
      <w:pPr>
        <w:widowControl/>
        <w:spacing w:line="360" w:lineRule="auto"/>
        <w:ind w:firstLine="426"/>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η μη ύπαρξη διαδικασίας ισοτίμησης και αντιστοίχισης των πτυχίων μας με τα πανεπιστημιακά πτυχία του </w:t>
      </w:r>
      <w:r w:rsidR="00F70BE2">
        <w:rPr>
          <w:rFonts w:ascii="Times New Roman" w:eastAsia="Calibri" w:hAnsi="Times New Roman" w:cs="Times New Roman"/>
          <w:color w:val="000000" w:themeColor="text1"/>
          <w:sz w:val="24"/>
          <w:szCs w:val="24"/>
          <w:lang w:val="el-GR"/>
        </w:rPr>
        <w:t xml:space="preserve">Πανεπιστημίου Πελοποννήσου </w:t>
      </w:r>
      <w:r w:rsidRPr="000819EA">
        <w:rPr>
          <w:rFonts w:ascii="Times New Roman" w:eastAsia="Calibri" w:hAnsi="Times New Roman" w:cs="Times New Roman"/>
          <w:color w:val="000000" w:themeColor="text1"/>
          <w:sz w:val="24"/>
          <w:szCs w:val="24"/>
          <w:lang w:val="el-GR"/>
        </w:rPr>
        <w:t xml:space="preserve">δημιουργεί απόφοιτους δύο ταχυτήτων (στην περίπτωση μάλιστα των μηχανικών δημιουργεί τρείς, </w:t>
      </w:r>
      <w:r w:rsidR="00F70BE2" w:rsidRPr="00F70BE2">
        <w:rPr>
          <w:rFonts w:ascii="Times New Roman" w:eastAsia="Calibri" w:hAnsi="Times New Roman" w:cs="Times New Roman"/>
          <w:color w:val="000000" w:themeColor="text1"/>
          <w:sz w:val="24"/>
          <w:szCs w:val="24"/>
          <w:lang w:val="el-GR"/>
        </w:rPr>
        <w:t>ΠΑ.ΠΕΛ.</w:t>
      </w:r>
      <w:r w:rsidRPr="000819EA">
        <w:rPr>
          <w:rFonts w:ascii="Times New Roman" w:eastAsia="Calibri" w:hAnsi="Times New Roman" w:cs="Times New Roman"/>
          <w:color w:val="000000" w:themeColor="text1"/>
          <w:sz w:val="24"/>
          <w:szCs w:val="24"/>
          <w:lang w:val="el-GR"/>
        </w:rPr>
        <w:t xml:space="preserve"> - Τ.Ε.Ι. - Πολυτεχνεία) και συγχρόνως προσβάλλει το κύρος των πτυχίων μας, δημιουργώντας  τόσο προβλήματα σε όλο το φάσμα της αγοράς εργασίας όσο και αύξηση, αντί για μείωση, της εντροπίας στον χώρο της ανώτατης εκπαίδευσης, κάτι που προφανώς αντιτίθεται και στις οδηγίες της Ευρωπαϊκής Ένωσης περί ομοιόμορφης και ενιαίας έκτης βαθμίδας.</w:t>
      </w:r>
    </w:p>
    <w:p w14:paraId="7923C244" w14:textId="49903EA0" w:rsidR="00A10E8E" w:rsidRPr="000819EA" w:rsidRDefault="00136595">
      <w:pPr>
        <w:widowControl/>
        <w:spacing w:line="360" w:lineRule="auto"/>
        <w:ind w:firstLine="426"/>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το Τ.Ε.Ι. </w:t>
      </w:r>
      <w:r w:rsidR="00F70BE2">
        <w:rPr>
          <w:rFonts w:ascii="Times New Roman" w:eastAsia="Calibri" w:hAnsi="Times New Roman" w:cs="Times New Roman"/>
          <w:color w:val="000000" w:themeColor="text1"/>
          <w:sz w:val="24"/>
          <w:szCs w:val="24"/>
          <w:lang w:val="el-GR"/>
        </w:rPr>
        <w:t>Πελοποννήσου</w:t>
      </w:r>
      <w:r w:rsidRPr="000819EA">
        <w:rPr>
          <w:rFonts w:ascii="Times New Roman" w:eastAsia="Calibri" w:hAnsi="Times New Roman" w:cs="Times New Roman"/>
          <w:color w:val="000000" w:themeColor="text1"/>
          <w:sz w:val="24"/>
          <w:szCs w:val="24"/>
          <w:lang w:val="el-GR"/>
        </w:rPr>
        <w:t>, σύμφωνα με τις εξωτερικές αξιολογήσεις της ΑΔΙΠ, βαθμολογήθηκε με «</w:t>
      </w:r>
      <w:r w:rsidRPr="000819EA">
        <w:rPr>
          <w:rFonts w:ascii="Times New Roman" w:eastAsia="Calibri" w:hAnsi="Times New Roman" w:cs="Times New Roman"/>
          <w:color w:val="000000" w:themeColor="text1"/>
          <w:sz w:val="24"/>
          <w:szCs w:val="24"/>
        </w:rPr>
        <w:t>Positive</w:t>
      </w:r>
      <w:r w:rsidRPr="000819EA">
        <w:rPr>
          <w:rFonts w:ascii="Times New Roman" w:eastAsia="Calibri" w:hAnsi="Times New Roman" w:cs="Times New Roman"/>
          <w:color w:val="000000" w:themeColor="text1"/>
          <w:sz w:val="24"/>
          <w:szCs w:val="24"/>
          <w:lang w:val="el-GR"/>
        </w:rPr>
        <w:t xml:space="preserve"> </w:t>
      </w:r>
      <w:r w:rsidRPr="000819EA">
        <w:rPr>
          <w:rFonts w:ascii="Times New Roman" w:eastAsia="Calibri" w:hAnsi="Times New Roman" w:cs="Times New Roman"/>
          <w:color w:val="000000" w:themeColor="text1"/>
          <w:sz w:val="24"/>
          <w:szCs w:val="24"/>
        </w:rPr>
        <w:t>Evaluation</w:t>
      </w:r>
      <w:r w:rsidRPr="000819EA">
        <w:rPr>
          <w:rFonts w:ascii="Times New Roman" w:eastAsia="Calibri" w:hAnsi="Times New Roman" w:cs="Times New Roman"/>
          <w:color w:val="000000" w:themeColor="text1"/>
          <w:sz w:val="24"/>
          <w:szCs w:val="24"/>
          <w:lang w:val="el-GR"/>
        </w:rPr>
        <w:t xml:space="preserve">» αντίστοιχα, </w:t>
      </w:r>
      <w:r w:rsidRPr="00253FC7">
        <w:rPr>
          <w:rFonts w:ascii="Times New Roman" w:eastAsia="Calibri" w:hAnsi="Times New Roman" w:cs="Times New Roman"/>
          <w:b/>
          <w:bCs/>
          <w:color w:val="000000" w:themeColor="text1"/>
          <w:sz w:val="24"/>
          <w:szCs w:val="24"/>
          <w:lang w:val="el-GR"/>
        </w:rPr>
        <w:t>στις οποίες συμβάλαμε κι εμείς!</w:t>
      </w:r>
    </w:p>
    <w:p w14:paraId="15E6E017" w14:textId="0ECC9039" w:rsidR="001C676C" w:rsidRPr="000819EA" w:rsidRDefault="00136595">
      <w:pPr>
        <w:widowControl/>
        <w:spacing w:line="360" w:lineRule="auto"/>
        <w:ind w:firstLine="425"/>
        <w:jc w:val="both"/>
        <w:rPr>
          <w:color w:val="000000" w:themeColor="text1"/>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όλοι οι απόφοιτοι του εν λόγω Α.Ε.Ι. Τ.Τ. είμαστε αναπόσπαστο κομμάτι του </w:t>
      </w:r>
      <w:r w:rsidR="008B7153">
        <w:rPr>
          <w:rFonts w:ascii="Times New Roman" w:eastAsia="Calibri" w:hAnsi="Times New Roman" w:cs="Times New Roman"/>
          <w:color w:val="000000" w:themeColor="text1"/>
          <w:sz w:val="24"/>
          <w:szCs w:val="24"/>
          <w:lang w:val="el-GR"/>
        </w:rPr>
        <w:t xml:space="preserve">Τ.Ε.Ι. Πελοποννήσου που πλέον αυτό </w:t>
      </w:r>
      <w:r w:rsidR="008B7153" w:rsidRPr="008B7153">
        <w:rPr>
          <w:rFonts w:ascii="Times New Roman" w:eastAsia="Calibri" w:hAnsi="Times New Roman" w:cs="Times New Roman"/>
          <w:color w:val="000000" w:themeColor="text1"/>
          <w:sz w:val="24"/>
          <w:szCs w:val="24"/>
          <w:lang w:val="el-GR"/>
        </w:rPr>
        <w:t xml:space="preserve">απορροφήθηκε </w:t>
      </w:r>
      <w:r w:rsidR="008B7153">
        <w:rPr>
          <w:rFonts w:ascii="Times New Roman" w:eastAsia="Calibri" w:hAnsi="Times New Roman" w:cs="Times New Roman"/>
          <w:color w:val="000000" w:themeColor="text1"/>
          <w:sz w:val="24"/>
          <w:szCs w:val="24"/>
          <w:lang w:val="el-GR"/>
        </w:rPr>
        <w:t xml:space="preserve">στο </w:t>
      </w:r>
      <w:r w:rsidR="008B7153" w:rsidRPr="00F70BE2">
        <w:rPr>
          <w:rFonts w:ascii="Times New Roman" w:eastAsia="Calibri" w:hAnsi="Times New Roman" w:cs="Times New Roman"/>
          <w:color w:val="000000" w:themeColor="text1"/>
          <w:sz w:val="24"/>
          <w:szCs w:val="24"/>
          <w:lang w:val="el-GR"/>
        </w:rPr>
        <w:t>Π</w:t>
      </w:r>
      <w:r w:rsidR="008B7153">
        <w:rPr>
          <w:rFonts w:ascii="Times New Roman" w:eastAsia="Calibri" w:hAnsi="Times New Roman" w:cs="Times New Roman"/>
          <w:color w:val="000000" w:themeColor="text1"/>
          <w:sz w:val="24"/>
          <w:szCs w:val="24"/>
          <w:lang w:val="el-GR"/>
        </w:rPr>
        <w:t>ανεπιστήμιο Πελοποννήσου</w:t>
      </w:r>
      <w:r w:rsidR="001C676C" w:rsidRPr="000819EA">
        <w:rPr>
          <w:color w:val="000000" w:themeColor="text1"/>
          <w:lang w:val="el-GR"/>
        </w:rPr>
        <w:t xml:space="preserve"> </w:t>
      </w:r>
    </w:p>
    <w:p w14:paraId="7E62AF76" w14:textId="552F9AF6" w:rsidR="001C676C" w:rsidRPr="000819EA" w:rsidRDefault="001C676C" w:rsidP="001C676C">
      <w:pPr>
        <w:widowControl/>
        <w:spacing w:line="360" w:lineRule="auto"/>
        <w:ind w:firstLine="425"/>
        <w:jc w:val="both"/>
        <w:rPr>
          <w:rFonts w:ascii="Times New Roman" w:eastAsia="Calibri" w:hAnsi="Times New Roman" w:cs="Times New Roman"/>
          <w:color w:val="000000" w:themeColor="text1"/>
          <w:sz w:val="24"/>
          <w:szCs w:val="24"/>
          <w:lang w:val="el-GR"/>
        </w:rPr>
      </w:pPr>
      <w:r w:rsidRPr="000819EA">
        <w:rPr>
          <w:rFonts w:ascii="Times New Roman" w:eastAsia="Calibri" w:hAnsi="Times New Roman" w:cs="Times New Roman"/>
          <w:b/>
          <w:bCs/>
          <w:color w:val="000000" w:themeColor="text1"/>
          <w:sz w:val="24"/>
          <w:szCs w:val="24"/>
          <w:lang w:val="el-GR"/>
        </w:rPr>
        <w:lastRenderedPageBreak/>
        <w:t>Επειδή</w:t>
      </w:r>
      <w:r w:rsidRPr="000819EA">
        <w:rPr>
          <w:rFonts w:ascii="Times New Roman" w:eastAsia="Calibri" w:hAnsi="Times New Roman" w:cs="Times New Roman"/>
          <w:color w:val="000000" w:themeColor="text1"/>
          <w:sz w:val="24"/>
          <w:szCs w:val="24"/>
          <w:lang w:val="el-GR"/>
        </w:rPr>
        <w:t xml:space="preserve"> η θέσπιση διαφορετικών διαδικασιών αντιστοίχισης και η αντιμετώπιση με τελείως διαφορετικό τρόπο των ν+2 φοιτητών και των αποφοίτων σε σχέση με τους υπόλοιπους εγγεγραμμένους φοιτητές, στερείται τόσο ακαδημαϊκής όσο και νομικής λογικής και δημιουργεί αντισυνταγματική διάκριση ανάμεσα σε πολίτες ίσων προσόντων που εισήχθησαν στα ίδια τμήματα με τον ίδιο ακριβώς τρόπο και παρακολούθησαν ή παρακολουθούν ακριβώς τα ίδια ή απολύτως αντίστοιχα προγράμματα σπουδών.</w:t>
      </w:r>
    </w:p>
    <w:p w14:paraId="6883FC3A" w14:textId="77777777"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δεν νοείται ύπαρξη διαφοροποίησης μεταξύ μηχανικών με Bachelor </w:t>
      </w:r>
      <w:r w:rsidRPr="000819EA">
        <w:rPr>
          <w:rFonts w:ascii="Times New Roman" w:eastAsia="Calibri" w:hAnsi="Times New Roman" w:cs="Times New Roman"/>
          <w:color w:val="000000" w:themeColor="text1"/>
          <w:sz w:val="24"/>
          <w:szCs w:val="24"/>
        </w:rPr>
        <w:t>of</w:t>
      </w:r>
      <w:r w:rsidRPr="000819EA">
        <w:rPr>
          <w:rFonts w:ascii="Times New Roman" w:eastAsia="Calibri" w:hAnsi="Times New Roman" w:cs="Times New Roman"/>
          <w:color w:val="000000" w:themeColor="text1"/>
          <w:sz w:val="24"/>
          <w:szCs w:val="24"/>
          <w:lang w:val="el-GR"/>
        </w:rPr>
        <w:t xml:space="preserve"> </w:t>
      </w:r>
      <w:r w:rsidRPr="000819EA">
        <w:rPr>
          <w:rFonts w:ascii="Times New Roman" w:eastAsia="Calibri" w:hAnsi="Times New Roman" w:cs="Times New Roman"/>
          <w:color w:val="000000" w:themeColor="text1"/>
          <w:sz w:val="24"/>
          <w:szCs w:val="24"/>
        </w:rPr>
        <w:t>Applied</w:t>
      </w:r>
      <w:r w:rsidRPr="000819EA">
        <w:rPr>
          <w:rFonts w:ascii="Times New Roman" w:eastAsia="Calibri" w:hAnsi="Times New Roman" w:cs="Times New Roman"/>
          <w:color w:val="000000" w:themeColor="text1"/>
          <w:sz w:val="24"/>
          <w:szCs w:val="24"/>
          <w:lang w:val="el-GR"/>
        </w:rPr>
        <w:t xml:space="preserve"> </w:t>
      </w:r>
      <w:r w:rsidRPr="000819EA">
        <w:rPr>
          <w:rFonts w:ascii="Times New Roman" w:eastAsia="Calibri" w:hAnsi="Times New Roman" w:cs="Times New Roman"/>
          <w:color w:val="000000" w:themeColor="text1"/>
          <w:sz w:val="24"/>
          <w:szCs w:val="24"/>
        </w:rPr>
        <w:t>Sciences</w:t>
      </w:r>
      <w:r w:rsidRPr="000819EA">
        <w:rPr>
          <w:rFonts w:ascii="Times New Roman" w:eastAsia="Calibri" w:hAnsi="Times New Roman" w:cs="Times New Roman"/>
          <w:color w:val="000000" w:themeColor="text1"/>
          <w:sz w:val="24"/>
          <w:szCs w:val="24"/>
          <w:lang w:val="el-GR"/>
        </w:rPr>
        <w:t xml:space="preserve"> (B</w:t>
      </w:r>
      <w:r w:rsidRPr="000819EA">
        <w:rPr>
          <w:rFonts w:ascii="Times New Roman" w:eastAsia="Calibri" w:hAnsi="Times New Roman" w:cs="Times New Roman"/>
          <w:color w:val="000000" w:themeColor="text1"/>
          <w:sz w:val="24"/>
          <w:szCs w:val="24"/>
        </w:rPr>
        <w:t>A</w:t>
      </w:r>
      <w:r w:rsidRPr="000819EA">
        <w:rPr>
          <w:rFonts w:ascii="Times New Roman" w:eastAsia="Calibri" w:hAnsi="Times New Roman" w:cs="Times New Roman"/>
          <w:color w:val="000000" w:themeColor="text1"/>
          <w:sz w:val="24"/>
          <w:szCs w:val="24"/>
          <w:lang w:val="el-GR"/>
        </w:rPr>
        <w:t xml:space="preserve">.Sc.) και Master </w:t>
      </w:r>
      <w:r w:rsidRPr="000819EA">
        <w:rPr>
          <w:rFonts w:ascii="Times New Roman" w:eastAsia="Calibri" w:hAnsi="Times New Roman" w:cs="Times New Roman"/>
          <w:color w:val="000000" w:themeColor="text1"/>
          <w:sz w:val="24"/>
          <w:szCs w:val="24"/>
        </w:rPr>
        <w:t>of</w:t>
      </w:r>
      <w:r w:rsidRPr="000819EA">
        <w:rPr>
          <w:rFonts w:ascii="Times New Roman" w:eastAsia="Calibri" w:hAnsi="Times New Roman" w:cs="Times New Roman"/>
          <w:color w:val="000000" w:themeColor="text1"/>
          <w:sz w:val="24"/>
          <w:szCs w:val="24"/>
          <w:lang w:val="el-GR"/>
        </w:rPr>
        <w:t xml:space="preserve"> </w:t>
      </w:r>
      <w:r w:rsidRPr="000819EA">
        <w:rPr>
          <w:rFonts w:ascii="Times New Roman" w:eastAsia="Calibri" w:hAnsi="Times New Roman" w:cs="Times New Roman"/>
          <w:color w:val="000000" w:themeColor="text1"/>
          <w:sz w:val="24"/>
          <w:szCs w:val="24"/>
        </w:rPr>
        <w:t>Science</w:t>
      </w:r>
      <w:r w:rsidRPr="000819EA">
        <w:rPr>
          <w:rFonts w:ascii="Times New Roman" w:eastAsia="Calibri" w:hAnsi="Times New Roman" w:cs="Times New Roman"/>
          <w:color w:val="000000" w:themeColor="text1"/>
          <w:sz w:val="24"/>
          <w:szCs w:val="24"/>
          <w:lang w:val="el-GR"/>
        </w:rPr>
        <w:t xml:space="preserve"> (MSc) των 330-360 ECTS και μηχανικών πολυτεχνικών σχολών με Ιntergrated </w:t>
      </w:r>
      <w:r w:rsidRPr="000819EA">
        <w:rPr>
          <w:rFonts w:ascii="Times New Roman" w:eastAsia="Calibri" w:hAnsi="Times New Roman" w:cs="Times New Roman"/>
          <w:color w:val="000000" w:themeColor="text1"/>
          <w:sz w:val="24"/>
          <w:szCs w:val="24"/>
        </w:rPr>
        <w:t>Master</w:t>
      </w:r>
      <w:r w:rsidRPr="000819EA">
        <w:rPr>
          <w:rFonts w:ascii="Times New Roman" w:eastAsia="Calibri" w:hAnsi="Times New Roman" w:cs="Times New Roman"/>
          <w:color w:val="000000" w:themeColor="text1"/>
          <w:sz w:val="24"/>
          <w:szCs w:val="24"/>
          <w:lang w:val="el-GR"/>
        </w:rPr>
        <w:t xml:space="preserve"> των 300 ECTS, δημιουργώντας κατηγορίες που αντιτίθενται τόσο στην Συνθήκη της Bolo</w:t>
      </w:r>
      <w:r w:rsidRPr="000819EA">
        <w:rPr>
          <w:rFonts w:ascii="Times New Roman" w:eastAsia="Calibri" w:hAnsi="Times New Roman" w:cs="Times New Roman"/>
          <w:color w:val="000000" w:themeColor="text1"/>
          <w:sz w:val="24"/>
          <w:szCs w:val="24"/>
        </w:rPr>
        <w:t>g</w:t>
      </w:r>
      <w:r w:rsidRPr="000819EA">
        <w:rPr>
          <w:rFonts w:ascii="Times New Roman" w:eastAsia="Calibri" w:hAnsi="Times New Roman" w:cs="Times New Roman"/>
          <w:color w:val="000000" w:themeColor="text1"/>
          <w:sz w:val="24"/>
          <w:szCs w:val="24"/>
          <w:lang w:val="el-GR"/>
        </w:rPr>
        <w:t>n</w:t>
      </w:r>
      <w:r w:rsidRPr="000819EA">
        <w:rPr>
          <w:rFonts w:ascii="Times New Roman" w:eastAsia="Calibri" w:hAnsi="Times New Roman" w:cs="Times New Roman"/>
          <w:color w:val="000000" w:themeColor="text1"/>
          <w:sz w:val="24"/>
          <w:szCs w:val="24"/>
        </w:rPr>
        <w:t>a</w:t>
      </w:r>
      <w:r w:rsidRPr="000819EA">
        <w:rPr>
          <w:rFonts w:ascii="Times New Roman" w:eastAsia="Calibri" w:hAnsi="Times New Roman" w:cs="Times New Roman"/>
          <w:color w:val="000000" w:themeColor="text1"/>
          <w:sz w:val="24"/>
          <w:szCs w:val="24"/>
          <w:lang w:val="el-GR"/>
        </w:rPr>
        <w:t xml:space="preserve"> και τις ευρωπαϊκές οδηγίες όσο και στα διεθνή ακαδημαϊκά πρότυπα. </w:t>
      </w:r>
    </w:p>
    <w:p w14:paraId="2A702C1E" w14:textId="77777777"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δεν νοείται η όποια αντιστοίχιση και ισοτίμηση τμημάτων, ανώτατων εκπαιδευτικών ιδρυμάτων, ίσης διάρκειας με αποκλίνοντα τρόπο από τις ευρωπαϊκές συμφωνίες, οδηγίες και πρακτικές. </w:t>
      </w:r>
    </w:p>
    <w:p w14:paraId="2C5935B8" w14:textId="77777777"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δεν νοείται η όποια διαφοροποίηση μεταξύ Α.Ε.Ι. Τ.Τ και Α.Ε.Ι. Π.Τ. και δη μετά την Συνθήκη της Bolo</w:t>
      </w:r>
      <w:r w:rsidRPr="000819EA">
        <w:rPr>
          <w:rFonts w:ascii="Times New Roman" w:eastAsia="Calibri" w:hAnsi="Times New Roman" w:cs="Times New Roman"/>
          <w:color w:val="000000" w:themeColor="text1"/>
          <w:sz w:val="24"/>
          <w:szCs w:val="24"/>
        </w:rPr>
        <w:t>g</w:t>
      </w:r>
      <w:r w:rsidRPr="000819EA">
        <w:rPr>
          <w:rFonts w:ascii="Times New Roman" w:eastAsia="Calibri" w:hAnsi="Times New Roman" w:cs="Times New Roman"/>
          <w:color w:val="000000" w:themeColor="text1"/>
          <w:sz w:val="24"/>
          <w:szCs w:val="24"/>
          <w:lang w:val="el-GR"/>
        </w:rPr>
        <w:t>n</w:t>
      </w:r>
      <w:r w:rsidRPr="000819EA">
        <w:rPr>
          <w:rFonts w:ascii="Times New Roman" w:eastAsia="Calibri" w:hAnsi="Times New Roman" w:cs="Times New Roman"/>
          <w:color w:val="000000" w:themeColor="text1"/>
          <w:sz w:val="24"/>
          <w:szCs w:val="24"/>
        </w:rPr>
        <w:t>a</w:t>
      </w:r>
      <w:r w:rsidRPr="000819EA">
        <w:rPr>
          <w:rFonts w:ascii="Times New Roman" w:eastAsia="Calibri" w:hAnsi="Times New Roman" w:cs="Times New Roman"/>
          <w:color w:val="000000" w:themeColor="text1"/>
          <w:sz w:val="24"/>
          <w:szCs w:val="24"/>
          <w:lang w:val="el-GR"/>
        </w:rPr>
        <w:t>, την δήλωση των Α.Ε.Ι. Τ.Τ. στην Ε.Ε. από το Ελληνικό κράτος ως ακαδημαϊκά ιδρύματα απόλυτα ισότιμα των Α.Ε.Ι. Π.Τ. αλλά και μετά τις σαφείς οδηγίες της Ε.Ε. για άρση της όποιας υφιστάμενης διαφοροποίησης διά της πλήρους εναρμόνισης του εθνικού πλαισίου προσόντων με το αντίστοιχο ευρωπαϊκό.</w:t>
      </w:r>
    </w:p>
    <w:p w14:paraId="756E9DDF" w14:textId="68947D8A"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u w:val="single"/>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σε οποιαδήποτε μετατροπή και αλλαγή </w:t>
      </w:r>
      <w:r w:rsidR="002D1FDE">
        <w:rPr>
          <w:rFonts w:ascii="Times New Roman" w:eastAsia="Calibri" w:hAnsi="Times New Roman" w:cs="Times New Roman"/>
          <w:color w:val="000000" w:themeColor="text1"/>
          <w:sz w:val="24"/>
          <w:szCs w:val="24"/>
          <w:lang w:val="el-GR"/>
        </w:rPr>
        <w:t xml:space="preserve">του ακαδημαϊκού υπόβαθρου </w:t>
      </w:r>
      <w:r w:rsidRPr="000819EA">
        <w:rPr>
          <w:rFonts w:ascii="Times New Roman" w:eastAsia="Calibri" w:hAnsi="Times New Roman" w:cs="Times New Roman"/>
          <w:color w:val="000000" w:themeColor="text1"/>
          <w:sz w:val="24"/>
          <w:szCs w:val="24"/>
          <w:lang w:val="el-GR"/>
        </w:rPr>
        <w:t xml:space="preserve">ενός ιδρύματος στο παρελθόν, </w:t>
      </w:r>
      <w:r w:rsidRPr="000819EA">
        <w:rPr>
          <w:rFonts w:ascii="Times New Roman" w:eastAsia="Calibri" w:hAnsi="Times New Roman" w:cs="Times New Roman"/>
          <w:b/>
          <w:color w:val="000000" w:themeColor="text1"/>
          <w:sz w:val="24"/>
          <w:szCs w:val="24"/>
          <w:lang w:val="el-GR"/>
        </w:rPr>
        <w:t>ακόμα και από ανώτερη σχολή σε Α.Ε.Ι.</w:t>
      </w:r>
      <w:r w:rsidRPr="000819EA">
        <w:rPr>
          <w:rFonts w:ascii="Times New Roman" w:eastAsia="Calibri" w:hAnsi="Times New Roman" w:cs="Times New Roman"/>
          <w:color w:val="000000" w:themeColor="text1"/>
          <w:sz w:val="24"/>
          <w:szCs w:val="24"/>
          <w:lang w:val="el-GR"/>
        </w:rPr>
        <w:t xml:space="preserve">, ακολούθησε και αλλαγή του </w:t>
      </w:r>
      <w:r w:rsidR="008B7153">
        <w:rPr>
          <w:rFonts w:ascii="Times New Roman" w:eastAsia="Calibri" w:hAnsi="Times New Roman" w:cs="Times New Roman"/>
          <w:color w:val="000000" w:themeColor="text1"/>
          <w:sz w:val="24"/>
          <w:szCs w:val="24"/>
          <w:lang w:val="el-GR"/>
        </w:rPr>
        <w:t>επιπέδου</w:t>
      </w:r>
      <w:r w:rsidRPr="000819EA">
        <w:rPr>
          <w:rFonts w:ascii="Times New Roman" w:eastAsia="Calibri" w:hAnsi="Times New Roman" w:cs="Times New Roman"/>
          <w:color w:val="000000" w:themeColor="text1"/>
          <w:sz w:val="24"/>
          <w:szCs w:val="24"/>
          <w:lang w:val="el-GR"/>
        </w:rPr>
        <w:t xml:space="preserve"> των αποφοίτων. Για ποιον λόγο τώρα συντελείται αυτή η άδική διάκριση εις βάρος των αποφοίτων Α.Ε.Ι. Τ.Τ., κυρίως με την παράλειψη αυτόματης αντιστοίχισης των πτυχίων, και μάλιστα όταν πρόκειται για ισότιμα με τα πανεπιστήμια ιδρύματα; </w:t>
      </w:r>
    </w:p>
    <w:p w14:paraId="2FAB5F89" w14:textId="77777777"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u w:val="single"/>
          <w:lang w:val="el-GR"/>
        </w:rPr>
        <w:t>Επειδή το γεγονός αυτό προκαλεί επιπλέον προβλήματα στο κύρος των πτυχίων μας διότι μας καθιστά απόφοιτους εκπαιδευτικών ιδρυμάτων που δεν υπάρχουν πια!</w:t>
      </w:r>
    </w:p>
    <w:p w14:paraId="5C7CD76B" w14:textId="46732C41"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τα αιτήματα μας είναι δίκαια, νόμιμα και σύμφωνα με την ακαδημαϊκή ιστορία-πορεία του Τ.Ε.Ι. </w:t>
      </w:r>
      <w:r w:rsidR="002D1FDE">
        <w:rPr>
          <w:rFonts w:ascii="Times New Roman" w:eastAsia="Calibri" w:hAnsi="Times New Roman" w:cs="Times New Roman"/>
          <w:color w:val="000000" w:themeColor="text1"/>
          <w:sz w:val="24"/>
          <w:szCs w:val="24"/>
          <w:lang w:val="el-GR"/>
        </w:rPr>
        <w:t>Πελοποννήσου</w:t>
      </w:r>
      <w:r w:rsidRPr="000819EA">
        <w:rPr>
          <w:rFonts w:ascii="Times New Roman" w:eastAsia="Calibri" w:hAnsi="Times New Roman" w:cs="Times New Roman"/>
          <w:color w:val="000000" w:themeColor="text1"/>
          <w:sz w:val="24"/>
          <w:szCs w:val="24"/>
          <w:lang w:val="el-GR"/>
        </w:rPr>
        <w:t>.</w:t>
      </w:r>
    </w:p>
    <w:p w14:paraId="3C611D1B" w14:textId="77777777"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αποτελεί κατάφωρη αδικία, παραπλάνηση και εξαπάτηση η αντιμετώπιση των αποφοίτων των Α.Ε.Ι. Τ.Τ. ως απόφοιτους δεύτερης κατηγορίας, με σαφή διάκριση απ' τα υπόλοιπα Α.Ε.Ι. </w:t>
      </w:r>
      <w:r w:rsidRPr="000819EA">
        <w:rPr>
          <w:rFonts w:ascii="Times New Roman" w:eastAsia="Calibri" w:hAnsi="Times New Roman" w:cs="Times New Roman"/>
          <w:b/>
          <w:color w:val="000000" w:themeColor="text1"/>
          <w:sz w:val="24"/>
          <w:szCs w:val="24"/>
          <w:u w:val="single"/>
          <w:lang w:val="el-GR"/>
        </w:rPr>
        <w:t>κυρίως στα επαγγελματικά δικαιώματα και στον δημοσιοϋπαλληλικό κώδικα</w:t>
      </w:r>
      <w:r w:rsidRPr="000819EA">
        <w:rPr>
          <w:rFonts w:ascii="Times New Roman" w:eastAsia="Calibri" w:hAnsi="Times New Roman" w:cs="Times New Roman"/>
          <w:color w:val="000000" w:themeColor="text1"/>
          <w:sz w:val="24"/>
          <w:szCs w:val="24"/>
          <w:lang w:val="el-GR"/>
        </w:rPr>
        <w:t xml:space="preserve">, την στιγμή που δήλωσαν στο μηχανογραφικό τους ένα Α.Ε.Ι. Τ.Τ. απόλυτα ισότιμο </w:t>
      </w:r>
      <w:r w:rsidRPr="000819EA">
        <w:rPr>
          <w:rFonts w:ascii="Times New Roman" w:eastAsia="Calibri" w:hAnsi="Times New Roman" w:cs="Times New Roman"/>
          <w:color w:val="000000" w:themeColor="text1"/>
          <w:sz w:val="24"/>
          <w:szCs w:val="24"/>
          <w:lang w:val="el-GR"/>
        </w:rPr>
        <w:lastRenderedPageBreak/>
        <w:t>με τα υπόλοιπα Α.Ε.Ι. της χώρας, τόσο βάσει νόμου, Συντάγματος και ευρωπαϊκών οδηγιών όσο και ακαδημαϊκών αξιολογήσεων.</w:t>
      </w:r>
    </w:p>
    <w:p w14:paraId="74A66A99" w14:textId="39204CDE"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λόγω των παραπάνω καθίσταται σαφές ότι δεν υπάρχει κανένα απολύτως νομικό, ακαδημαϊκό ή λογικό αντεπιχείρημα ή εμπόδιο στην αυτόματη αντιστοίχιση και ως προς όλες τις συνέπειες ισοτίμηση των τμημάτων του Τ.Ε.Ι. </w:t>
      </w:r>
      <w:r w:rsidR="002D1FDE">
        <w:rPr>
          <w:rFonts w:ascii="Times New Roman" w:eastAsia="Calibri" w:hAnsi="Times New Roman" w:cs="Times New Roman"/>
          <w:color w:val="000000" w:themeColor="text1"/>
          <w:sz w:val="24"/>
          <w:szCs w:val="24"/>
          <w:lang w:val="el-GR"/>
        </w:rPr>
        <w:t>Πελοποννήσου</w:t>
      </w:r>
      <w:r w:rsidR="002D1FDE" w:rsidRPr="000819EA">
        <w:rPr>
          <w:rFonts w:ascii="Times New Roman" w:eastAsia="Calibri" w:hAnsi="Times New Roman" w:cs="Times New Roman"/>
          <w:color w:val="000000" w:themeColor="text1"/>
          <w:sz w:val="24"/>
          <w:szCs w:val="24"/>
          <w:lang w:val="el-GR"/>
        </w:rPr>
        <w:t xml:space="preserve"> </w:t>
      </w:r>
      <w:r w:rsidRPr="000819EA">
        <w:rPr>
          <w:rFonts w:ascii="Times New Roman" w:eastAsia="Calibri" w:hAnsi="Times New Roman" w:cs="Times New Roman"/>
          <w:color w:val="000000" w:themeColor="text1"/>
          <w:sz w:val="24"/>
          <w:szCs w:val="24"/>
          <w:lang w:val="el-GR"/>
        </w:rPr>
        <w:t xml:space="preserve">με τα αντίστοιχα ή συναφή τμήματα του </w:t>
      </w:r>
      <w:r w:rsidR="002D1FDE">
        <w:rPr>
          <w:rFonts w:ascii="Times New Roman" w:eastAsia="Calibri" w:hAnsi="Times New Roman" w:cs="Times New Roman"/>
          <w:color w:val="000000" w:themeColor="text1"/>
          <w:sz w:val="24"/>
          <w:szCs w:val="24"/>
          <w:lang w:val="el-GR"/>
        </w:rPr>
        <w:t>ΠΑ.ΠΕΛ.</w:t>
      </w:r>
    </w:p>
    <w:p w14:paraId="2F546EF6" w14:textId="3E94BD33" w:rsidR="00A10E8E" w:rsidRPr="000819EA" w:rsidRDefault="00136595">
      <w:pPr>
        <w:widowControl/>
        <w:spacing w:line="360" w:lineRule="auto"/>
        <w:ind w:firstLine="425"/>
        <w:jc w:val="both"/>
        <w:rPr>
          <w:rFonts w:ascii="Times New Roman" w:eastAsia="Calibri" w:hAnsi="Times New Roman" w:cs="Times New Roman"/>
          <w:b/>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είμαστε εκατοντάδες χιλιάδες και η μη ύπαρξη διαδικασίας ισοτίμησης και αντιστοίχισης των πτυχίων μας με τα νέα πανεπιστημιακά πτυχία του </w:t>
      </w:r>
      <w:r w:rsidR="002D1FDE">
        <w:rPr>
          <w:rFonts w:ascii="Times New Roman" w:eastAsia="Calibri" w:hAnsi="Times New Roman" w:cs="Times New Roman"/>
          <w:color w:val="000000" w:themeColor="text1"/>
          <w:sz w:val="24"/>
          <w:szCs w:val="24"/>
          <w:lang w:val="el-GR"/>
        </w:rPr>
        <w:t>ΠΑ.ΠΕΛ.</w:t>
      </w:r>
      <w:r w:rsidRPr="000819EA">
        <w:rPr>
          <w:rFonts w:ascii="Times New Roman" w:eastAsia="Calibri" w:hAnsi="Times New Roman" w:cs="Times New Roman"/>
          <w:color w:val="000000" w:themeColor="text1"/>
          <w:sz w:val="24"/>
          <w:szCs w:val="24"/>
          <w:lang w:val="el-GR"/>
        </w:rPr>
        <w:t>, μας  καθιστά κατάφωρα αδικημένους, και</w:t>
      </w:r>
    </w:p>
    <w:p w14:paraId="68437921" w14:textId="6453BA5E" w:rsidR="001C676C" w:rsidRPr="000819EA" w:rsidRDefault="00136595" w:rsidP="001C676C">
      <w:pPr>
        <w:widowControl/>
        <w:spacing w:line="360" w:lineRule="auto"/>
        <w:ind w:firstLine="425"/>
        <w:jc w:val="both"/>
        <w:rPr>
          <w:rFonts w:ascii="Times New Roman" w:eastAsia="Calibri" w:hAnsi="Times New Roman" w:cs="Times New Roman"/>
          <w:color w:val="000000" w:themeColor="text1"/>
          <w:sz w:val="24"/>
          <w:szCs w:val="24"/>
          <w:lang w:val="el-GR"/>
        </w:rPr>
      </w:pPr>
      <w:r w:rsidRPr="000819EA">
        <w:rPr>
          <w:rFonts w:ascii="Times New Roman" w:eastAsia="Calibri" w:hAnsi="Times New Roman" w:cs="Times New Roman"/>
          <w:b/>
          <w:color w:val="000000" w:themeColor="text1"/>
          <w:sz w:val="24"/>
          <w:szCs w:val="24"/>
          <w:lang w:val="el-GR"/>
        </w:rPr>
        <w:t>Επειδή</w:t>
      </w:r>
      <w:r w:rsidRPr="000819EA">
        <w:rPr>
          <w:rFonts w:ascii="Times New Roman" w:eastAsia="Calibri" w:hAnsi="Times New Roman" w:cs="Times New Roman"/>
          <w:color w:val="000000" w:themeColor="text1"/>
          <w:sz w:val="24"/>
          <w:szCs w:val="24"/>
          <w:lang w:val="el-GR"/>
        </w:rPr>
        <w:t xml:space="preserve"> οι μέχρι τώρα προθέσεις των πολιτικών ιθυνόντων δείχνουν ότι δεν έχουν κανένα σκοπό να επιλύσουν το ζήτημα.</w:t>
      </w:r>
    </w:p>
    <w:p w14:paraId="040F160D" w14:textId="51CD925D" w:rsidR="001C676C" w:rsidRPr="000819EA" w:rsidRDefault="001C676C" w:rsidP="001C676C">
      <w:pPr>
        <w:widowControl/>
        <w:spacing w:line="360" w:lineRule="auto"/>
        <w:jc w:val="both"/>
        <w:rPr>
          <w:rFonts w:ascii="Times New Roman" w:eastAsia="Calibri" w:hAnsi="Times New Roman" w:cs="Times New Roman"/>
          <w:color w:val="000000" w:themeColor="text1"/>
          <w:sz w:val="24"/>
          <w:szCs w:val="24"/>
          <w:lang w:val="el-GR"/>
        </w:rPr>
      </w:pPr>
    </w:p>
    <w:p w14:paraId="5674E8FA" w14:textId="7F5DBEB3" w:rsidR="001C676C" w:rsidRDefault="001C676C">
      <w:pPr>
        <w:widowControl/>
        <w:spacing w:line="360" w:lineRule="auto"/>
        <w:ind w:firstLine="425"/>
        <w:jc w:val="both"/>
        <w:rPr>
          <w:rFonts w:ascii="Times New Roman" w:eastAsia="Calibri" w:hAnsi="Times New Roman" w:cs="Times New Roman"/>
          <w:color w:val="000000" w:themeColor="text1"/>
          <w:sz w:val="24"/>
          <w:szCs w:val="24"/>
          <w:lang w:val="el-GR"/>
        </w:rPr>
      </w:pPr>
    </w:p>
    <w:p w14:paraId="4A69DE40" w14:textId="5A801597" w:rsidR="000819EA" w:rsidRDefault="000819EA">
      <w:pPr>
        <w:widowControl/>
        <w:spacing w:line="360" w:lineRule="auto"/>
        <w:ind w:firstLine="425"/>
        <w:jc w:val="both"/>
        <w:rPr>
          <w:rFonts w:ascii="Times New Roman" w:eastAsia="Calibri" w:hAnsi="Times New Roman" w:cs="Times New Roman"/>
          <w:color w:val="000000" w:themeColor="text1"/>
          <w:sz w:val="24"/>
          <w:szCs w:val="24"/>
          <w:lang w:val="el-GR"/>
        </w:rPr>
      </w:pPr>
    </w:p>
    <w:p w14:paraId="7EC9219C" w14:textId="0EECBCC5" w:rsidR="000819EA" w:rsidRDefault="000819EA">
      <w:pPr>
        <w:widowControl/>
        <w:spacing w:line="360" w:lineRule="auto"/>
        <w:ind w:firstLine="425"/>
        <w:jc w:val="both"/>
        <w:rPr>
          <w:rFonts w:ascii="Times New Roman" w:eastAsia="Calibri" w:hAnsi="Times New Roman" w:cs="Times New Roman"/>
          <w:color w:val="000000" w:themeColor="text1"/>
          <w:sz w:val="24"/>
          <w:szCs w:val="24"/>
          <w:lang w:val="el-GR"/>
        </w:rPr>
      </w:pPr>
    </w:p>
    <w:p w14:paraId="2B128C9D" w14:textId="01A91B9C" w:rsidR="00285BFD" w:rsidRDefault="00285BFD">
      <w:pPr>
        <w:widowControl/>
        <w:spacing w:line="360" w:lineRule="auto"/>
        <w:ind w:firstLine="425"/>
        <w:jc w:val="both"/>
        <w:rPr>
          <w:rFonts w:ascii="Times New Roman" w:eastAsia="Calibri" w:hAnsi="Times New Roman" w:cs="Times New Roman"/>
          <w:color w:val="000000" w:themeColor="text1"/>
          <w:sz w:val="24"/>
          <w:szCs w:val="24"/>
          <w:lang w:val="el-GR"/>
        </w:rPr>
      </w:pPr>
    </w:p>
    <w:p w14:paraId="4F94E878" w14:textId="1EA7114C" w:rsidR="00285BFD" w:rsidRDefault="00285BFD">
      <w:pPr>
        <w:widowControl/>
        <w:spacing w:line="360" w:lineRule="auto"/>
        <w:ind w:firstLine="425"/>
        <w:jc w:val="both"/>
        <w:rPr>
          <w:rFonts w:ascii="Times New Roman" w:eastAsia="Calibri" w:hAnsi="Times New Roman" w:cs="Times New Roman"/>
          <w:color w:val="000000" w:themeColor="text1"/>
          <w:sz w:val="24"/>
          <w:szCs w:val="24"/>
          <w:lang w:val="el-GR"/>
        </w:rPr>
      </w:pPr>
    </w:p>
    <w:p w14:paraId="0A4F5D6A" w14:textId="21BF65F4" w:rsidR="00285BFD" w:rsidRDefault="00285BFD">
      <w:pPr>
        <w:widowControl/>
        <w:spacing w:line="360" w:lineRule="auto"/>
        <w:ind w:firstLine="425"/>
        <w:jc w:val="both"/>
        <w:rPr>
          <w:rFonts w:ascii="Times New Roman" w:eastAsia="Calibri" w:hAnsi="Times New Roman" w:cs="Times New Roman"/>
          <w:color w:val="000000" w:themeColor="text1"/>
          <w:sz w:val="24"/>
          <w:szCs w:val="24"/>
          <w:lang w:val="el-GR"/>
        </w:rPr>
      </w:pPr>
    </w:p>
    <w:p w14:paraId="46B70F31" w14:textId="77777777" w:rsidR="00285BFD" w:rsidRPr="000819EA" w:rsidRDefault="00285BFD">
      <w:pPr>
        <w:widowControl/>
        <w:spacing w:line="360" w:lineRule="auto"/>
        <w:ind w:firstLine="425"/>
        <w:jc w:val="both"/>
        <w:rPr>
          <w:rFonts w:ascii="Times New Roman" w:eastAsia="Calibri" w:hAnsi="Times New Roman" w:cs="Times New Roman"/>
          <w:color w:val="000000" w:themeColor="text1"/>
          <w:sz w:val="24"/>
          <w:szCs w:val="24"/>
          <w:lang w:val="el-GR"/>
        </w:rPr>
      </w:pPr>
    </w:p>
    <w:p w14:paraId="248C004C" w14:textId="20F2DA20" w:rsidR="00A10E8E" w:rsidRDefault="00136595">
      <w:pPr>
        <w:widowControl/>
        <w:spacing w:line="360" w:lineRule="auto"/>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Κατόπιν όλων των ανωτέρω,</w:t>
      </w:r>
    </w:p>
    <w:p w14:paraId="1FA6D093" w14:textId="77777777" w:rsidR="00285BFD" w:rsidRPr="000819EA" w:rsidRDefault="00285BFD">
      <w:pPr>
        <w:widowControl/>
        <w:spacing w:line="360" w:lineRule="auto"/>
        <w:jc w:val="center"/>
        <w:rPr>
          <w:rFonts w:ascii="Times New Roman" w:hAnsi="Times New Roman" w:cs="Times New Roman"/>
          <w:b/>
          <w:color w:val="000000" w:themeColor="text1"/>
          <w:sz w:val="28"/>
          <w:szCs w:val="28"/>
          <w:lang w:val="el-GR"/>
        </w:rPr>
      </w:pPr>
    </w:p>
    <w:p w14:paraId="29F42FD0" w14:textId="77777777" w:rsidR="00A10E8E" w:rsidRPr="000819EA" w:rsidRDefault="00136595">
      <w:pPr>
        <w:widowControl/>
        <w:spacing w:line="360" w:lineRule="auto"/>
        <w:jc w:val="center"/>
        <w:rPr>
          <w:rFonts w:ascii="Times New Roman" w:hAnsi="Times New Roman" w:cs="Times New Roman"/>
          <w:b/>
          <w:color w:val="000000" w:themeColor="text1"/>
          <w:sz w:val="24"/>
          <w:szCs w:val="24"/>
          <w:lang w:val="el-GR"/>
        </w:rPr>
      </w:pPr>
      <w:r w:rsidRPr="000819EA">
        <w:rPr>
          <w:rFonts w:ascii="Times New Roman" w:hAnsi="Times New Roman" w:cs="Times New Roman"/>
          <w:b/>
          <w:color w:val="000000" w:themeColor="text1"/>
          <w:sz w:val="28"/>
          <w:szCs w:val="28"/>
          <w:lang w:val="el-GR"/>
        </w:rPr>
        <w:t>Αξιώνουμε</w:t>
      </w:r>
    </w:p>
    <w:p w14:paraId="17DB0DFD" w14:textId="77777777" w:rsidR="00A10E8E" w:rsidRPr="000819EA" w:rsidRDefault="00136595">
      <w:pPr>
        <w:widowControl/>
        <w:spacing w:line="360" w:lineRule="auto"/>
        <w:jc w:val="center"/>
        <w:rPr>
          <w:rFonts w:ascii="Times New Roman" w:hAnsi="Times New Roman" w:cs="Times New Roman"/>
          <w:color w:val="000000" w:themeColor="text1"/>
          <w:sz w:val="24"/>
          <w:szCs w:val="24"/>
          <w:lang w:val="el-GR"/>
        </w:rPr>
      </w:pPr>
      <w:r w:rsidRPr="000819EA">
        <w:rPr>
          <w:rFonts w:ascii="Times New Roman" w:hAnsi="Times New Roman" w:cs="Times New Roman"/>
          <w:b/>
          <w:color w:val="000000" w:themeColor="text1"/>
          <w:sz w:val="24"/>
          <w:szCs w:val="24"/>
          <w:lang w:val="el-GR"/>
        </w:rPr>
        <w:t>με την επιφύλαξη της προσφυγής μας τόσο στα αρμόδια τοπικά δικαστήρια όσο και στα Ευρωπαϊκά Δικαστήρια, από την στιγμή που θίγονται κατοχυρωμένα σε Διεθνείς Συνθήκες δικαιώματά μας</w:t>
      </w:r>
    </w:p>
    <w:p w14:paraId="49B46B11" w14:textId="0989535A" w:rsidR="00A10E8E" w:rsidRDefault="00A10E8E">
      <w:pPr>
        <w:widowControl/>
        <w:spacing w:line="360" w:lineRule="auto"/>
        <w:jc w:val="center"/>
        <w:rPr>
          <w:rFonts w:ascii="Times New Roman" w:hAnsi="Times New Roman" w:cs="Times New Roman"/>
          <w:color w:val="000000" w:themeColor="text1"/>
          <w:sz w:val="24"/>
          <w:szCs w:val="24"/>
          <w:lang w:val="el-GR"/>
        </w:rPr>
      </w:pPr>
    </w:p>
    <w:p w14:paraId="744F4ABB" w14:textId="77777777" w:rsidR="00285BFD" w:rsidRPr="000819EA" w:rsidRDefault="00285BFD">
      <w:pPr>
        <w:widowControl/>
        <w:spacing w:line="360" w:lineRule="auto"/>
        <w:jc w:val="center"/>
        <w:rPr>
          <w:rFonts w:ascii="Times New Roman" w:hAnsi="Times New Roman" w:cs="Times New Roman"/>
          <w:color w:val="000000" w:themeColor="text1"/>
          <w:sz w:val="24"/>
          <w:szCs w:val="24"/>
          <w:lang w:val="el-GR"/>
        </w:rPr>
      </w:pPr>
    </w:p>
    <w:p w14:paraId="297C41F2" w14:textId="52C470F8" w:rsidR="00A10E8E" w:rsidRPr="000819EA" w:rsidRDefault="00136595">
      <w:pPr>
        <w:widowControl/>
        <w:spacing w:after="200" w:line="360" w:lineRule="auto"/>
        <w:jc w:val="both"/>
        <w:rPr>
          <w:color w:val="000000" w:themeColor="text1"/>
          <w:lang w:val="el-GR"/>
        </w:rPr>
      </w:pPr>
      <w:r w:rsidRPr="000819EA">
        <w:rPr>
          <w:rFonts w:ascii="Times New Roman" w:hAnsi="Times New Roman" w:cs="Times New Roman"/>
          <w:color w:val="000000" w:themeColor="text1"/>
          <w:sz w:val="24"/>
          <w:szCs w:val="24"/>
          <w:lang w:val="el-GR"/>
        </w:rPr>
        <w:t xml:space="preserve">την άμεση κύρωση διατάξεων που να κατοχυρώνουν την πλήρη και ως προς κάθε συνέπεια αυτοδίκαιη ισοτίμησης και αντιστοίχιση των πτυχίων των Τμήματος του πρώην Ανώτατου Εκπαιδευτικού Ιδρύματος Τ.Τ. </w:t>
      </w:r>
      <w:r w:rsidR="002D1FDE">
        <w:rPr>
          <w:rFonts w:ascii="Times New Roman" w:hAnsi="Times New Roman" w:cs="Times New Roman"/>
          <w:color w:val="000000" w:themeColor="text1"/>
          <w:sz w:val="24"/>
          <w:szCs w:val="24"/>
          <w:lang w:val="el-GR"/>
        </w:rPr>
        <w:t>Πελοποννήσου</w:t>
      </w:r>
      <w:r w:rsidRPr="000819EA">
        <w:rPr>
          <w:rFonts w:ascii="Times New Roman" w:hAnsi="Times New Roman" w:cs="Times New Roman"/>
          <w:color w:val="000000" w:themeColor="text1"/>
          <w:sz w:val="24"/>
          <w:szCs w:val="24"/>
          <w:lang w:val="el-GR"/>
        </w:rPr>
        <w:t xml:space="preserve">, με τα νέα, ίσης διάρκειας σπουδών (240 ECTS) και ίδιας βαθμίδας (EQF Level 6) πτυχία των αντίστοιχων ή συναφών Τμημάτων και κατευθύνσεων του </w:t>
      </w:r>
      <w:r w:rsidR="002D1FDE">
        <w:rPr>
          <w:rFonts w:ascii="Times New Roman" w:hAnsi="Times New Roman" w:cs="Times New Roman"/>
          <w:color w:val="000000" w:themeColor="text1"/>
          <w:sz w:val="24"/>
          <w:szCs w:val="24"/>
          <w:lang w:val="el-GR"/>
        </w:rPr>
        <w:t>Πανεπιστημίου Πελοποννήσου</w:t>
      </w:r>
      <w:r w:rsidRPr="000819EA">
        <w:rPr>
          <w:rFonts w:ascii="Times New Roman" w:hAnsi="Times New Roman" w:cs="Times New Roman"/>
          <w:color w:val="000000" w:themeColor="text1"/>
          <w:sz w:val="24"/>
          <w:szCs w:val="24"/>
          <w:lang w:val="el-GR"/>
        </w:rPr>
        <w:t>.</w:t>
      </w:r>
    </w:p>
    <w:p w14:paraId="1EFAA16E" w14:textId="77777777" w:rsidR="00A10E8E" w:rsidRPr="000819EA" w:rsidRDefault="00A10E8E">
      <w:pPr>
        <w:pStyle w:val="13"/>
        <w:rPr>
          <w:color w:val="000000" w:themeColor="text1"/>
          <w:lang w:val="el-GR"/>
        </w:rPr>
      </w:pPr>
    </w:p>
    <w:p w14:paraId="100FBB80" w14:textId="2049B63F" w:rsidR="00A10E8E" w:rsidRPr="00285BFD" w:rsidRDefault="00136595">
      <w:pPr>
        <w:pStyle w:val="13"/>
        <w:rPr>
          <w:rFonts w:ascii="Times New Roman" w:hAnsi="Times New Roman" w:cs="Times New Roman"/>
          <w:color w:val="000000" w:themeColor="text1"/>
          <w:sz w:val="24"/>
          <w:szCs w:val="24"/>
          <w:lang w:val="el-GR"/>
        </w:rPr>
      </w:pPr>
      <w:r w:rsidRPr="000819EA">
        <w:rPr>
          <w:color w:val="000000" w:themeColor="text1"/>
          <w:lang w:val="el-GR"/>
        </w:rPr>
        <w:br/>
      </w:r>
      <w:r w:rsidRPr="00285BFD">
        <w:rPr>
          <w:rFonts w:ascii="Times New Roman" w:hAnsi="Times New Roman" w:cs="Times New Roman"/>
          <w:color w:val="000000" w:themeColor="text1"/>
          <w:sz w:val="24"/>
          <w:szCs w:val="24"/>
          <w:lang w:val="el-GR"/>
        </w:rPr>
        <w:lastRenderedPageBreak/>
        <w:t>Συγκεκριμένα, αξιώνονται τα εξής:</w:t>
      </w:r>
    </w:p>
    <w:p w14:paraId="4698DC5D" w14:textId="77777777" w:rsidR="00A10E8E" w:rsidRPr="00285BFD" w:rsidRDefault="00136595">
      <w:pPr>
        <w:pStyle w:val="13"/>
        <w:rPr>
          <w:rFonts w:ascii="Times New Roman" w:hAnsi="Times New Roman" w:cs="Times New Roman"/>
          <w:b/>
          <w:color w:val="000000" w:themeColor="text1"/>
          <w:sz w:val="24"/>
          <w:szCs w:val="24"/>
          <w:lang w:val="el-GR"/>
        </w:rPr>
      </w:pPr>
      <w:r w:rsidRPr="00285BFD">
        <w:rPr>
          <w:rFonts w:ascii="Times New Roman" w:hAnsi="Times New Roman" w:cs="Times New Roman"/>
          <w:color w:val="000000" w:themeColor="text1"/>
          <w:sz w:val="24"/>
          <w:szCs w:val="24"/>
          <w:lang w:val="el-GR"/>
        </w:rPr>
        <w:br/>
      </w:r>
    </w:p>
    <w:p w14:paraId="714AC4D5" w14:textId="65D022B9" w:rsidR="00A10E8E" w:rsidRPr="000819EA" w:rsidRDefault="00EB3656" w:rsidP="00EB3656">
      <w:pPr>
        <w:widowControl/>
        <w:spacing w:after="200" w:line="276" w:lineRule="auto"/>
        <w:jc w:val="both"/>
        <w:rPr>
          <w:rFonts w:ascii="Times New Roman" w:hAnsi="Times New Roman" w:cs="Times New Roman"/>
          <w:b/>
          <w:color w:val="000000" w:themeColor="text1"/>
          <w:sz w:val="24"/>
          <w:szCs w:val="24"/>
          <w:lang w:val="el-GR"/>
        </w:rPr>
      </w:pPr>
      <w:r w:rsidRPr="00EB3656">
        <w:rPr>
          <w:rFonts w:ascii="Times New Roman" w:hAnsi="Times New Roman" w:cs="Times New Roman"/>
          <w:b/>
          <w:color w:val="000000" w:themeColor="text1"/>
          <w:sz w:val="24"/>
          <w:szCs w:val="24"/>
          <w:lang w:val="el-GR"/>
        </w:rPr>
        <w:t xml:space="preserve">Αντιστοίχιση των παλαιών πτυχίων Τ.Ε.Ι. με τα νέα πτυχία </w:t>
      </w:r>
      <w:r w:rsidR="00136595" w:rsidRPr="000819EA">
        <w:rPr>
          <w:rFonts w:ascii="Times New Roman" w:hAnsi="Times New Roman" w:cs="Times New Roman"/>
          <w:b/>
          <w:color w:val="000000" w:themeColor="text1"/>
          <w:sz w:val="24"/>
          <w:szCs w:val="24"/>
          <w:lang w:val="el-GR"/>
        </w:rPr>
        <w:t xml:space="preserve">του </w:t>
      </w:r>
      <w:r w:rsidR="007F0B74">
        <w:rPr>
          <w:rFonts w:ascii="Times New Roman" w:hAnsi="Times New Roman" w:cs="Times New Roman"/>
          <w:b/>
          <w:color w:val="000000" w:themeColor="text1"/>
          <w:sz w:val="24"/>
          <w:szCs w:val="24"/>
          <w:lang w:val="el-GR"/>
        </w:rPr>
        <w:t>Πανεπιστημίου Πελοποννήσου</w:t>
      </w:r>
      <w:r w:rsidR="00136595" w:rsidRPr="000819EA">
        <w:rPr>
          <w:rFonts w:ascii="Times New Roman" w:hAnsi="Times New Roman" w:cs="Times New Roman"/>
          <w:b/>
          <w:color w:val="000000" w:themeColor="text1"/>
          <w:sz w:val="24"/>
          <w:szCs w:val="24"/>
          <w:lang w:val="el-GR"/>
        </w:rPr>
        <w:t>.</w:t>
      </w:r>
    </w:p>
    <w:p w14:paraId="5C6E128B" w14:textId="77777777" w:rsidR="00A10E8E" w:rsidRPr="000819EA" w:rsidRDefault="00136595">
      <w:pPr>
        <w:pStyle w:val="12"/>
        <w:widowControl/>
        <w:numPr>
          <w:ilvl w:val="0"/>
          <w:numId w:val="3"/>
        </w:numPr>
        <w:spacing w:after="200" w:line="276" w:lineRule="auto"/>
        <w:ind w:left="426" w:firstLine="0"/>
        <w:jc w:val="both"/>
        <w:rPr>
          <w:rFonts w:ascii="Times New Roman" w:hAnsi="Times New Roman" w:cs="Times New Roman"/>
          <w:color w:val="000000" w:themeColor="text1"/>
          <w:sz w:val="24"/>
          <w:szCs w:val="24"/>
          <w:lang w:val="el-GR"/>
        </w:rPr>
      </w:pPr>
      <w:r w:rsidRPr="000819EA">
        <w:rPr>
          <w:rFonts w:ascii="Times New Roman" w:hAnsi="Times New Roman" w:cs="Times New Roman"/>
          <w:b/>
          <w:color w:val="000000" w:themeColor="text1"/>
          <w:sz w:val="24"/>
          <w:szCs w:val="24"/>
          <w:lang w:val="el-GR"/>
        </w:rPr>
        <w:t>Πτυχία T.E.I τετραετούς διάρκειας σπουδών:</w:t>
      </w:r>
    </w:p>
    <w:p w14:paraId="05CA3F62" w14:textId="1647D329" w:rsidR="00A10E8E" w:rsidRPr="000819EA" w:rsidRDefault="00136595">
      <w:pPr>
        <w:pStyle w:val="12"/>
        <w:widowControl/>
        <w:spacing w:after="200" w:line="276" w:lineRule="auto"/>
        <w:ind w:left="426"/>
        <w:jc w:val="both"/>
        <w:rPr>
          <w:rFonts w:ascii="Times New Roman" w:hAnsi="Times New Roman" w:cs="Times New Roman"/>
          <w:b/>
          <w:bCs/>
          <w:color w:val="000000" w:themeColor="text1"/>
          <w:sz w:val="24"/>
          <w:szCs w:val="24"/>
          <w:lang w:val="el-GR"/>
        </w:rPr>
      </w:pPr>
      <w:r w:rsidRPr="000819EA">
        <w:rPr>
          <w:rFonts w:ascii="Times New Roman" w:hAnsi="Times New Roman" w:cs="Times New Roman"/>
          <w:color w:val="000000" w:themeColor="text1"/>
          <w:sz w:val="24"/>
          <w:szCs w:val="24"/>
          <w:lang w:val="el-GR"/>
        </w:rPr>
        <w:t xml:space="preserve">Όσα πτυχία αποκτήθηκαν μετά την ανωτατοποίηση των Τ.Ε.Ι. το 2001, όντας πτυχία Α.Ε.Ι. κατά το άρθρο 16 του Συντάγματος τετραετούς διάρκειας σπουδών και 240 ECTS, τα οποία ανήκουν στο επίπεδο 6 του Εθνικού και Ευρωπαϊκού Πλαισίου Προσόντων, καθώς και όσα ήταν ήδη τετραετούς διάρκειας σπουδών πριν το 2001, να αντιστοιχιστούν αυτοδικαίως και άνευ ετέρας διαδικασίας με τα νέα πτυχία, των αντίστοιχων ή συναφών Τμημάτων ή κατευθύνσεων του </w:t>
      </w:r>
      <w:r w:rsidR="00FF77A8">
        <w:rPr>
          <w:rFonts w:ascii="Times New Roman" w:hAnsi="Times New Roman" w:cs="Times New Roman"/>
          <w:color w:val="000000" w:themeColor="text1"/>
          <w:sz w:val="24"/>
          <w:szCs w:val="24"/>
          <w:lang w:val="el-GR"/>
        </w:rPr>
        <w:t>ΠΑ.ΠΕΛ.</w:t>
      </w:r>
      <w:r w:rsidR="00FF77A8" w:rsidRPr="000819EA">
        <w:rPr>
          <w:rFonts w:ascii="Times New Roman" w:hAnsi="Times New Roman" w:cs="Times New Roman"/>
          <w:color w:val="000000" w:themeColor="text1"/>
          <w:sz w:val="24"/>
          <w:szCs w:val="24"/>
          <w:lang w:val="el-GR"/>
        </w:rPr>
        <w:t xml:space="preserve"> </w:t>
      </w:r>
      <w:r w:rsidRPr="000819EA">
        <w:rPr>
          <w:rFonts w:ascii="Times New Roman" w:hAnsi="Times New Roman" w:cs="Times New Roman"/>
          <w:color w:val="000000" w:themeColor="text1"/>
          <w:sz w:val="24"/>
          <w:szCs w:val="24"/>
          <w:lang w:val="el-GR"/>
        </w:rPr>
        <w:t>τετραετούς διάρκειας σπουδών.</w:t>
      </w:r>
    </w:p>
    <w:p w14:paraId="3AEE40C2" w14:textId="2895FF16" w:rsidR="00A10E8E" w:rsidRPr="000819EA" w:rsidRDefault="00136595">
      <w:pPr>
        <w:pStyle w:val="12"/>
        <w:widowControl/>
        <w:numPr>
          <w:ilvl w:val="0"/>
          <w:numId w:val="3"/>
        </w:numPr>
        <w:spacing w:after="200" w:line="276" w:lineRule="auto"/>
        <w:ind w:left="426" w:firstLine="0"/>
        <w:jc w:val="both"/>
        <w:rPr>
          <w:rFonts w:ascii="Times New Roman" w:hAnsi="Times New Roman" w:cs="Times New Roman"/>
          <w:color w:val="000000" w:themeColor="text1"/>
          <w:sz w:val="24"/>
          <w:szCs w:val="24"/>
          <w:lang w:val="el-GR"/>
        </w:rPr>
      </w:pPr>
      <w:r w:rsidRPr="000819EA">
        <w:rPr>
          <w:rFonts w:ascii="Times New Roman" w:hAnsi="Times New Roman" w:cs="Times New Roman"/>
          <w:b/>
          <w:bCs/>
          <w:color w:val="000000" w:themeColor="text1"/>
          <w:sz w:val="24"/>
          <w:szCs w:val="24"/>
          <w:lang w:val="el-GR"/>
        </w:rPr>
        <w:t>Πτυχία τμ</w:t>
      </w:r>
      <w:r w:rsidR="00FF77A8">
        <w:rPr>
          <w:rFonts w:ascii="Times New Roman" w:hAnsi="Times New Roman" w:cs="Times New Roman"/>
          <w:b/>
          <w:bCs/>
          <w:color w:val="000000" w:themeColor="text1"/>
          <w:sz w:val="24"/>
          <w:szCs w:val="24"/>
          <w:lang w:val="el-GR"/>
        </w:rPr>
        <w:t xml:space="preserve">ήματος γεωπόνων </w:t>
      </w:r>
      <w:r w:rsidRPr="000819EA">
        <w:rPr>
          <w:rFonts w:ascii="Times New Roman" w:hAnsi="Times New Roman" w:cs="Times New Roman"/>
          <w:b/>
          <w:bCs/>
          <w:color w:val="000000" w:themeColor="text1"/>
          <w:sz w:val="24"/>
          <w:szCs w:val="24"/>
          <w:lang w:val="el-GR"/>
        </w:rPr>
        <w:t>Τ.Ε. των Α.Ε.Ι. Τ.Τ. που αποκτήθηκαν μετά την «ανωτατοποίηση» των Τ.Ε.Ι. το 2001 (τέσσερα έτη σπουδών):</w:t>
      </w:r>
    </w:p>
    <w:tbl>
      <w:tblPr>
        <w:tblW w:w="0" w:type="auto"/>
        <w:tblInd w:w="534" w:type="dxa"/>
        <w:tblLayout w:type="fixed"/>
        <w:tblLook w:val="0000" w:firstRow="0" w:lastRow="0" w:firstColumn="0" w:lastColumn="0" w:noHBand="0" w:noVBand="0"/>
      </w:tblPr>
      <w:tblGrid>
        <w:gridCol w:w="424"/>
        <w:gridCol w:w="8283"/>
      </w:tblGrid>
      <w:tr w:rsidR="000819EA" w:rsidRPr="00950758" w14:paraId="6BE5FB98" w14:textId="77777777">
        <w:tc>
          <w:tcPr>
            <w:tcW w:w="424" w:type="dxa"/>
            <w:shd w:val="clear" w:color="auto" w:fill="auto"/>
          </w:tcPr>
          <w:p w14:paraId="6137281E" w14:textId="77777777" w:rsidR="00A10E8E" w:rsidRPr="000819EA" w:rsidRDefault="00136595">
            <w:pPr>
              <w:pStyle w:val="12"/>
              <w:widowControl/>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α)</w:t>
            </w:r>
          </w:p>
        </w:tc>
        <w:tc>
          <w:tcPr>
            <w:tcW w:w="8283" w:type="dxa"/>
            <w:shd w:val="clear" w:color="auto" w:fill="auto"/>
          </w:tcPr>
          <w:p w14:paraId="1C0AF858" w14:textId="42B73D01" w:rsidR="00A10E8E" w:rsidRPr="000819EA" w:rsidRDefault="00136595">
            <w:pPr>
              <w:widowControl/>
              <w:jc w:val="both"/>
              <w:rPr>
                <w:color w:val="000000" w:themeColor="text1"/>
                <w:lang w:val="el-GR"/>
              </w:rPr>
            </w:pPr>
            <w:r w:rsidRPr="000819EA">
              <w:rPr>
                <w:rFonts w:ascii="Times New Roman" w:hAnsi="Times New Roman" w:cs="Times New Roman"/>
                <w:color w:val="000000" w:themeColor="text1"/>
                <w:sz w:val="24"/>
                <w:szCs w:val="24"/>
                <w:lang w:val="el-GR"/>
              </w:rPr>
              <w:t xml:space="preserve">Αντιστοίχιση με τα νέα πτυχία των αντίστοιχων ή συναφών τμημάτων ή κατευθύνσεων του </w:t>
            </w:r>
            <w:r w:rsidR="00FF77A8">
              <w:rPr>
                <w:rFonts w:ascii="Times New Roman" w:hAnsi="Times New Roman" w:cs="Times New Roman"/>
                <w:color w:val="000000" w:themeColor="text1"/>
                <w:sz w:val="24"/>
                <w:szCs w:val="24"/>
                <w:lang w:val="el-GR"/>
              </w:rPr>
              <w:t>ΠΑ.ΠΕΛ.</w:t>
            </w:r>
            <w:r w:rsidRPr="000819EA">
              <w:rPr>
                <w:rFonts w:ascii="Times New Roman" w:hAnsi="Times New Roman" w:cs="Times New Roman"/>
                <w:color w:val="000000" w:themeColor="text1"/>
                <w:sz w:val="24"/>
                <w:szCs w:val="24"/>
                <w:lang w:val="el-GR"/>
              </w:rPr>
              <w:t xml:space="preserve"> </w:t>
            </w:r>
            <w:r w:rsidRPr="001F6F94">
              <w:rPr>
                <w:rFonts w:ascii="Times New Roman" w:hAnsi="Times New Roman" w:cs="Times New Roman"/>
                <w:color w:val="000000" w:themeColor="text1"/>
                <w:sz w:val="24"/>
                <w:szCs w:val="24"/>
                <w:lang w:val="el-GR"/>
              </w:rPr>
              <w:t>πενταετούς διάρκειας σπουδών</w:t>
            </w:r>
            <w:r w:rsidR="00FF77A8" w:rsidRPr="001F6F94">
              <w:rPr>
                <w:rFonts w:ascii="Times New Roman" w:hAnsi="Times New Roman" w:cs="Times New Roman"/>
                <w:color w:val="000000" w:themeColor="text1"/>
                <w:sz w:val="24"/>
                <w:szCs w:val="24"/>
                <w:lang w:val="el-GR"/>
              </w:rPr>
              <w:t xml:space="preserve"> </w:t>
            </w:r>
            <w:r w:rsidRPr="000819EA">
              <w:rPr>
                <w:rFonts w:ascii="Times New Roman" w:hAnsi="Times New Roman" w:cs="Times New Roman"/>
                <w:color w:val="000000" w:themeColor="text1"/>
                <w:sz w:val="24"/>
                <w:szCs w:val="24"/>
                <w:lang w:val="el-GR"/>
              </w:rPr>
              <w:t>αυτοδικαίως και άνευ ετέρας διαδικασίας για τους κατέχοντες συναφή τίτλο μεταπτυχιακών σπουδών ή αποδεδειγμένη συναφή εργασιακή εμπειρία τουλάχιστον τριών ετών, ακολουθώντας την συνήθη ακαδημαϊκή διαδικασία αντιστοίχισης των 10 ECTS ανά εξάμηνο πρακτικής άσκησης.</w:t>
            </w:r>
          </w:p>
        </w:tc>
      </w:tr>
      <w:tr w:rsidR="000819EA" w:rsidRPr="00950758" w14:paraId="3BAAD54F" w14:textId="77777777">
        <w:tc>
          <w:tcPr>
            <w:tcW w:w="424" w:type="dxa"/>
            <w:shd w:val="clear" w:color="auto" w:fill="auto"/>
          </w:tcPr>
          <w:p w14:paraId="70F1D5D3" w14:textId="77777777" w:rsidR="00A10E8E" w:rsidRPr="000819EA" w:rsidRDefault="00136595">
            <w:pPr>
              <w:pStyle w:val="12"/>
              <w:widowControl/>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β)</w:t>
            </w:r>
          </w:p>
        </w:tc>
        <w:tc>
          <w:tcPr>
            <w:tcW w:w="8283" w:type="dxa"/>
            <w:shd w:val="clear" w:color="auto" w:fill="auto"/>
          </w:tcPr>
          <w:p w14:paraId="08A4F72B" w14:textId="3BB1D888" w:rsidR="00A10E8E" w:rsidRPr="000819EA" w:rsidRDefault="00136595">
            <w:pPr>
              <w:widowControl/>
              <w:jc w:val="both"/>
              <w:rPr>
                <w:color w:val="000000" w:themeColor="text1"/>
                <w:lang w:val="el-GR"/>
              </w:rPr>
            </w:pPr>
            <w:r w:rsidRPr="000819EA">
              <w:rPr>
                <w:rFonts w:ascii="Times New Roman" w:hAnsi="Times New Roman" w:cs="Times New Roman"/>
                <w:color w:val="000000" w:themeColor="text1"/>
                <w:sz w:val="24"/>
                <w:szCs w:val="24"/>
                <w:lang w:val="el-GR"/>
              </w:rPr>
              <w:t xml:space="preserve">Αντιστοίχιση με τα νέα πτυχία των αντίστοιχων ή συναφών Τμημάτων ή κατευθύνσεων του </w:t>
            </w:r>
            <w:r w:rsidR="00A54E51">
              <w:rPr>
                <w:rFonts w:ascii="Times New Roman" w:hAnsi="Times New Roman" w:cs="Times New Roman"/>
                <w:color w:val="000000" w:themeColor="text1"/>
                <w:sz w:val="24"/>
                <w:szCs w:val="24"/>
                <w:lang w:val="el-GR"/>
              </w:rPr>
              <w:t xml:space="preserve">ΠΑ.ΠΕΛ. </w:t>
            </w:r>
            <w:r w:rsidRPr="000819EA">
              <w:rPr>
                <w:rFonts w:ascii="Times New Roman" w:hAnsi="Times New Roman" w:cs="Times New Roman"/>
                <w:color w:val="000000" w:themeColor="text1"/>
                <w:sz w:val="24"/>
                <w:szCs w:val="24"/>
                <w:lang w:val="el-GR"/>
              </w:rPr>
              <w:t>πενταετούς διάρκειας σπουδών κατόπιν παρακολούθησης μαθημάτων ενός ακαδημαϊκού έτους για τους μη κατέχοντες συναφή τίτλο μεταπτυχιακών σπουδών ή αποδεδειγμένη συναφή εργασιακή εμπειρία, άνευ ποσοστιαίων περιορισμών και κατόπιν αίτησης του εκάστοτε ενδιαφερομένου.</w:t>
            </w:r>
          </w:p>
        </w:tc>
      </w:tr>
      <w:tr w:rsidR="000819EA" w:rsidRPr="00950758" w14:paraId="44262CF9" w14:textId="77777777">
        <w:tc>
          <w:tcPr>
            <w:tcW w:w="424" w:type="dxa"/>
            <w:shd w:val="clear" w:color="auto" w:fill="auto"/>
          </w:tcPr>
          <w:p w14:paraId="23C60361" w14:textId="77777777" w:rsidR="00A10E8E" w:rsidRPr="000819EA" w:rsidRDefault="00A10E8E">
            <w:pPr>
              <w:pStyle w:val="12"/>
              <w:widowControl/>
              <w:snapToGrid w:val="0"/>
              <w:jc w:val="center"/>
              <w:rPr>
                <w:rFonts w:ascii="Times New Roman" w:hAnsi="Times New Roman" w:cs="Times New Roman"/>
                <w:color w:val="000000" w:themeColor="text1"/>
                <w:sz w:val="24"/>
                <w:szCs w:val="24"/>
                <w:lang w:val="el-GR"/>
              </w:rPr>
            </w:pPr>
          </w:p>
          <w:p w14:paraId="7E7C653E" w14:textId="77777777" w:rsidR="00A10E8E" w:rsidRPr="000819EA" w:rsidRDefault="00A10E8E">
            <w:pPr>
              <w:pStyle w:val="12"/>
              <w:widowControl/>
              <w:jc w:val="center"/>
              <w:rPr>
                <w:rFonts w:ascii="Times New Roman" w:hAnsi="Times New Roman" w:cs="Times New Roman"/>
                <w:color w:val="000000" w:themeColor="text1"/>
                <w:sz w:val="12"/>
                <w:szCs w:val="12"/>
                <w:lang w:val="el-GR"/>
              </w:rPr>
            </w:pPr>
          </w:p>
        </w:tc>
        <w:tc>
          <w:tcPr>
            <w:tcW w:w="8283" w:type="dxa"/>
            <w:shd w:val="clear" w:color="auto" w:fill="auto"/>
          </w:tcPr>
          <w:p w14:paraId="054506E5" w14:textId="77777777" w:rsidR="00A10E8E" w:rsidRPr="000819EA" w:rsidRDefault="00A10E8E">
            <w:pPr>
              <w:widowControl/>
              <w:snapToGrid w:val="0"/>
              <w:jc w:val="both"/>
              <w:rPr>
                <w:rFonts w:ascii="Times New Roman" w:hAnsi="Times New Roman" w:cs="Times New Roman"/>
                <w:color w:val="000000" w:themeColor="text1"/>
                <w:sz w:val="24"/>
                <w:szCs w:val="24"/>
                <w:lang w:val="el-GR"/>
              </w:rPr>
            </w:pPr>
          </w:p>
        </w:tc>
      </w:tr>
    </w:tbl>
    <w:p w14:paraId="079825A0" w14:textId="77777777" w:rsidR="00A10E8E" w:rsidRPr="000819EA" w:rsidRDefault="00136595">
      <w:pPr>
        <w:pStyle w:val="12"/>
        <w:widowControl/>
        <w:numPr>
          <w:ilvl w:val="0"/>
          <w:numId w:val="4"/>
        </w:numPr>
        <w:spacing w:after="200" w:line="276" w:lineRule="auto"/>
        <w:jc w:val="both"/>
        <w:rPr>
          <w:rFonts w:ascii="Times New Roman" w:hAnsi="Times New Roman" w:cs="Times New Roman"/>
          <w:color w:val="000000" w:themeColor="text1"/>
          <w:sz w:val="24"/>
          <w:szCs w:val="24"/>
          <w:lang w:val="el-GR"/>
        </w:rPr>
      </w:pPr>
      <w:r w:rsidRPr="000819EA">
        <w:rPr>
          <w:rFonts w:ascii="Times New Roman" w:hAnsi="Times New Roman" w:cs="Times New Roman"/>
          <w:b/>
          <w:color w:val="000000" w:themeColor="text1"/>
          <w:sz w:val="24"/>
          <w:szCs w:val="24"/>
          <w:lang w:val="el-GR"/>
        </w:rPr>
        <w:t>Πτυχία Τ.Ε.Ι. διάρκειας σπουδών τρεισήμισι ετών:</w:t>
      </w:r>
    </w:p>
    <w:p w14:paraId="72E82471" w14:textId="77777777" w:rsidR="00A10E8E" w:rsidRPr="000819EA" w:rsidRDefault="00136595">
      <w:pPr>
        <w:pStyle w:val="12"/>
        <w:widowControl/>
        <w:spacing w:after="200" w:line="276" w:lineRule="auto"/>
        <w:ind w:left="426"/>
        <w:jc w:val="both"/>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Όσα πτυχία αποκτήθηκαν πριν το 2001, διάρκειας σπουδών τρεισήμισι ετών, όντας πτυχία</w:t>
      </w:r>
      <w:r w:rsidRPr="000819EA">
        <w:rPr>
          <w:rFonts w:cs="font300"/>
          <w:color w:val="000000" w:themeColor="text1"/>
          <w:lang w:val="el-GR"/>
        </w:rPr>
        <w:t xml:space="preserve"> </w:t>
      </w:r>
      <w:r w:rsidRPr="000819EA">
        <w:rPr>
          <w:rFonts w:ascii="Times New Roman" w:hAnsi="Times New Roman" w:cs="Times New Roman"/>
          <w:color w:val="000000" w:themeColor="text1"/>
          <w:sz w:val="24"/>
          <w:szCs w:val="24"/>
          <w:lang w:val="el-GR"/>
        </w:rPr>
        <w:t>Τεχνολογικών Εκπαιδευτικών Ιδρυμάτων Τριτοβάθμιας Εκπαίδευσης να αντιστοιχιστούν:</w:t>
      </w:r>
    </w:p>
    <w:tbl>
      <w:tblPr>
        <w:tblW w:w="0" w:type="auto"/>
        <w:tblInd w:w="534" w:type="dxa"/>
        <w:tblLayout w:type="fixed"/>
        <w:tblLook w:val="0000" w:firstRow="0" w:lastRow="0" w:firstColumn="0" w:lastColumn="0" w:noHBand="0" w:noVBand="0"/>
      </w:tblPr>
      <w:tblGrid>
        <w:gridCol w:w="506"/>
        <w:gridCol w:w="8201"/>
      </w:tblGrid>
      <w:tr w:rsidR="000819EA" w:rsidRPr="00950758" w14:paraId="5ECC946C" w14:textId="77777777">
        <w:tc>
          <w:tcPr>
            <w:tcW w:w="506" w:type="dxa"/>
            <w:shd w:val="clear" w:color="auto" w:fill="auto"/>
          </w:tcPr>
          <w:p w14:paraId="4ECB0187" w14:textId="77777777" w:rsidR="00A10E8E" w:rsidRPr="000819EA" w:rsidRDefault="00136595">
            <w:pPr>
              <w:pStyle w:val="12"/>
              <w:widowControl/>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α)</w:t>
            </w:r>
          </w:p>
        </w:tc>
        <w:tc>
          <w:tcPr>
            <w:tcW w:w="8201" w:type="dxa"/>
            <w:shd w:val="clear" w:color="auto" w:fill="auto"/>
          </w:tcPr>
          <w:p w14:paraId="5D068942" w14:textId="77777777" w:rsidR="00A10E8E" w:rsidRPr="000819EA" w:rsidRDefault="00136595">
            <w:pPr>
              <w:widowControl/>
              <w:jc w:val="both"/>
              <w:rPr>
                <w:color w:val="000000" w:themeColor="text1"/>
                <w:lang w:val="el-GR"/>
              </w:rPr>
            </w:pPr>
            <w:r w:rsidRPr="000819EA">
              <w:rPr>
                <w:rFonts w:ascii="Times New Roman" w:hAnsi="Times New Roman" w:cs="Times New Roman"/>
                <w:color w:val="000000" w:themeColor="text1"/>
                <w:sz w:val="24"/>
                <w:szCs w:val="24"/>
                <w:lang w:val="el-GR"/>
              </w:rPr>
              <w:t>Αυτοδικαίως και άνευ ετέρας διαδικασίας για τους κατέχοντες συναφή τίτλο μεταπτυχιακών σπουδών ή αποδεδειγμένη συναφή εργασιακή εμπειρία τουλάχιστον ενάμισι έτους, ακολουθώντας την συνήθη ακαδημαϊκή διαδικασία αντιστοίχισης των 10 ECTS ανά εξάμηνο πρακτικής άσκησης.</w:t>
            </w:r>
          </w:p>
        </w:tc>
      </w:tr>
      <w:tr w:rsidR="000819EA" w:rsidRPr="00950758" w14:paraId="1BAFB156" w14:textId="77777777">
        <w:tc>
          <w:tcPr>
            <w:tcW w:w="506" w:type="dxa"/>
            <w:shd w:val="clear" w:color="auto" w:fill="auto"/>
          </w:tcPr>
          <w:p w14:paraId="6966DF34" w14:textId="77777777" w:rsidR="00A10E8E" w:rsidRPr="000819EA" w:rsidRDefault="00136595">
            <w:pPr>
              <w:pStyle w:val="12"/>
              <w:widowControl/>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β)</w:t>
            </w:r>
          </w:p>
        </w:tc>
        <w:tc>
          <w:tcPr>
            <w:tcW w:w="8201" w:type="dxa"/>
            <w:shd w:val="clear" w:color="auto" w:fill="auto"/>
          </w:tcPr>
          <w:p w14:paraId="2A8DC447" w14:textId="77777777" w:rsidR="00A10E8E" w:rsidRPr="000819EA" w:rsidRDefault="00136595">
            <w:pPr>
              <w:widowControl/>
              <w:jc w:val="both"/>
              <w:rPr>
                <w:color w:val="000000" w:themeColor="text1"/>
                <w:lang w:val="el-GR"/>
              </w:rPr>
            </w:pPr>
            <w:r w:rsidRPr="000819EA">
              <w:rPr>
                <w:rFonts w:ascii="Times New Roman" w:hAnsi="Times New Roman" w:cs="Times New Roman"/>
                <w:color w:val="000000" w:themeColor="text1"/>
                <w:sz w:val="24"/>
                <w:szCs w:val="24"/>
                <w:lang w:val="el-GR"/>
              </w:rPr>
              <w:t>Κατόπιν παρακολούθησης ενός ακαδημαϊκού εξαμήνου για τους μη κατέχοντες συναφή τίτλο μεταπτυχιακών σπουδών ή αποδεδειγμένη</w:t>
            </w:r>
            <w:r w:rsidRPr="000819EA">
              <w:rPr>
                <w:rFonts w:cs="font300"/>
                <w:color w:val="000000" w:themeColor="text1"/>
                <w:lang w:val="el-GR"/>
              </w:rPr>
              <w:t xml:space="preserve"> </w:t>
            </w:r>
            <w:r w:rsidRPr="000819EA">
              <w:rPr>
                <w:rFonts w:ascii="Times New Roman" w:hAnsi="Times New Roman" w:cs="Times New Roman"/>
                <w:color w:val="000000" w:themeColor="text1"/>
                <w:sz w:val="24"/>
                <w:szCs w:val="24"/>
                <w:lang w:val="el-GR"/>
              </w:rPr>
              <w:t>συναφή εργασιακή εμπειρία, άνευ ποσοστιαίων περιορισμών και κατόπιν αίτησης του εκάστοτε ενδιαφερομένου.</w:t>
            </w:r>
          </w:p>
        </w:tc>
      </w:tr>
    </w:tbl>
    <w:p w14:paraId="3E32E60B" w14:textId="7A3B0FBB" w:rsidR="00A10E8E" w:rsidRPr="000819EA" w:rsidRDefault="00136595" w:rsidP="001C676C">
      <w:pPr>
        <w:pStyle w:val="12"/>
        <w:widowControl/>
        <w:numPr>
          <w:ilvl w:val="0"/>
          <w:numId w:val="4"/>
        </w:numPr>
        <w:spacing w:after="200" w:line="276" w:lineRule="auto"/>
        <w:jc w:val="both"/>
        <w:rPr>
          <w:rFonts w:ascii="Times New Roman" w:hAnsi="Times New Roman" w:cs="Times New Roman"/>
          <w:color w:val="000000" w:themeColor="text1"/>
          <w:sz w:val="24"/>
          <w:szCs w:val="24"/>
          <w:lang w:val="el-GR"/>
        </w:rPr>
      </w:pPr>
      <w:r w:rsidRPr="000819EA">
        <w:rPr>
          <w:rFonts w:ascii="Times New Roman" w:hAnsi="Times New Roman" w:cs="Times New Roman"/>
          <w:b/>
          <w:bCs/>
          <w:color w:val="000000" w:themeColor="text1"/>
          <w:sz w:val="24"/>
          <w:szCs w:val="24"/>
          <w:lang w:val="el-GR"/>
        </w:rPr>
        <w:t xml:space="preserve">Πτυχία </w:t>
      </w:r>
      <w:r w:rsidR="00FF77A8">
        <w:rPr>
          <w:rFonts w:ascii="Times New Roman" w:hAnsi="Times New Roman" w:cs="Times New Roman"/>
          <w:b/>
          <w:bCs/>
          <w:color w:val="000000" w:themeColor="text1"/>
          <w:sz w:val="24"/>
          <w:szCs w:val="24"/>
          <w:lang w:val="el-GR"/>
        </w:rPr>
        <w:t>τμήματος</w:t>
      </w:r>
      <w:r w:rsidRPr="000819EA">
        <w:rPr>
          <w:rFonts w:ascii="Times New Roman" w:hAnsi="Times New Roman" w:cs="Times New Roman"/>
          <w:b/>
          <w:bCs/>
          <w:color w:val="000000" w:themeColor="text1"/>
          <w:sz w:val="24"/>
          <w:szCs w:val="24"/>
          <w:lang w:val="el-GR"/>
        </w:rPr>
        <w:t xml:space="preserve"> γεωπόνων Τ.Ε. που αποκτήθηκαν πριν την ανωτατοποίηση των Τ.Ε.Ι. το 2001 (τρεισήμισι έτη):</w:t>
      </w:r>
    </w:p>
    <w:tbl>
      <w:tblPr>
        <w:tblW w:w="0" w:type="auto"/>
        <w:tblInd w:w="534" w:type="dxa"/>
        <w:tblLayout w:type="fixed"/>
        <w:tblLook w:val="0000" w:firstRow="0" w:lastRow="0" w:firstColumn="0" w:lastColumn="0" w:noHBand="0" w:noVBand="0"/>
      </w:tblPr>
      <w:tblGrid>
        <w:gridCol w:w="469"/>
        <w:gridCol w:w="8238"/>
      </w:tblGrid>
      <w:tr w:rsidR="000819EA" w:rsidRPr="00950758" w14:paraId="05F9247C" w14:textId="77777777">
        <w:tc>
          <w:tcPr>
            <w:tcW w:w="469" w:type="dxa"/>
            <w:shd w:val="clear" w:color="auto" w:fill="auto"/>
          </w:tcPr>
          <w:p w14:paraId="41AFF782" w14:textId="77777777" w:rsidR="00A10E8E" w:rsidRPr="000819EA" w:rsidRDefault="00136595">
            <w:pPr>
              <w:pStyle w:val="12"/>
              <w:widowControl/>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α)</w:t>
            </w:r>
          </w:p>
        </w:tc>
        <w:tc>
          <w:tcPr>
            <w:tcW w:w="8238" w:type="dxa"/>
            <w:shd w:val="clear" w:color="auto" w:fill="auto"/>
          </w:tcPr>
          <w:p w14:paraId="16B702F5" w14:textId="7D11E348" w:rsidR="00A10E8E" w:rsidRPr="000819EA" w:rsidRDefault="00136595">
            <w:pPr>
              <w:widowControl/>
              <w:jc w:val="both"/>
              <w:rPr>
                <w:color w:val="000000" w:themeColor="text1"/>
                <w:lang w:val="el-GR"/>
              </w:rPr>
            </w:pPr>
            <w:r w:rsidRPr="000819EA">
              <w:rPr>
                <w:rFonts w:ascii="Times New Roman" w:hAnsi="Times New Roman" w:cs="Times New Roman"/>
                <w:color w:val="000000" w:themeColor="text1"/>
                <w:sz w:val="24"/>
                <w:szCs w:val="24"/>
                <w:lang w:val="el-GR"/>
              </w:rPr>
              <w:t xml:space="preserve">Αυτοδικαίως και άνευ ετέρας διαδικασίας αντιστοίχιση με τα νέα πτυχία των </w:t>
            </w:r>
            <w:r w:rsidRPr="000819EA">
              <w:rPr>
                <w:rFonts w:ascii="Times New Roman" w:hAnsi="Times New Roman" w:cs="Times New Roman"/>
                <w:color w:val="000000" w:themeColor="text1"/>
                <w:sz w:val="24"/>
                <w:szCs w:val="24"/>
                <w:lang w:val="el-GR"/>
              </w:rPr>
              <w:lastRenderedPageBreak/>
              <w:t xml:space="preserve">αντίστοιχων ή συναφών Τμημάτων ή κατευθύνσεων του </w:t>
            </w:r>
            <w:r w:rsidR="00FF77A8">
              <w:rPr>
                <w:rFonts w:ascii="Times New Roman" w:hAnsi="Times New Roman" w:cs="Times New Roman"/>
                <w:color w:val="000000" w:themeColor="text1"/>
                <w:sz w:val="24"/>
                <w:szCs w:val="24"/>
                <w:lang w:val="el-GR"/>
              </w:rPr>
              <w:t xml:space="preserve">ΠΑ.ΠΕΛ. </w:t>
            </w:r>
            <w:r w:rsidRPr="000819EA">
              <w:rPr>
                <w:rFonts w:ascii="Times New Roman" w:hAnsi="Times New Roman" w:cs="Times New Roman"/>
                <w:color w:val="000000" w:themeColor="text1"/>
                <w:sz w:val="24"/>
                <w:szCs w:val="24"/>
                <w:lang w:val="el-GR"/>
              </w:rPr>
              <w:t>πενταετούς διάρκειας σπουδών, για τους κατέχοντες συναφή τίτλο μεταπτυχιακών σπουδών ή αποδεδειγμένη συναφή εργασιακή εμπειρία τουλάχιστον τεσσεράμισι ετών, ακολουθώντας την συνήθη ακαδημαϊκή διαδικασία αντιστοίχισης των 10 ECTS ανά εξάμηνο πρακτικής άσκησης.</w:t>
            </w:r>
          </w:p>
        </w:tc>
      </w:tr>
      <w:tr w:rsidR="000819EA" w:rsidRPr="00950758" w14:paraId="1348941E" w14:textId="77777777">
        <w:tc>
          <w:tcPr>
            <w:tcW w:w="469" w:type="dxa"/>
            <w:shd w:val="clear" w:color="auto" w:fill="auto"/>
          </w:tcPr>
          <w:p w14:paraId="41F9545B" w14:textId="77777777" w:rsidR="00A10E8E" w:rsidRPr="000819EA" w:rsidRDefault="00136595">
            <w:pPr>
              <w:pStyle w:val="12"/>
              <w:widowControl/>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lastRenderedPageBreak/>
              <w:t>β)</w:t>
            </w:r>
          </w:p>
        </w:tc>
        <w:tc>
          <w:tcPr>
            <w:tcW w:w="8238" w:type="dxa"/>
            <w:shd w:val="clear" w:color="auto" w:fill="auto"/>
          </w:tcPr>
          <w:p w14:paraId="15260073" w14:textId="001D95C1" w:rsidR="00A10E8E" w:rsidRPr="000819EA" w:rsidRDefault="00136595">
            <w:pPr>
              <w:widowControl/>
              <w:spacing w:after="200"/>
              <w:jc w:val="both"/>
              <w:rPr>
                <w:color w:val="000000" w:themeColor="text1"/>
                <w:lang w:val="el-GR"/>
              </w:rPr>
            </w:pPr>
            <w:r w:rsidRPr="000819EA">
              <w:rPr>
                <w:rFonts w:ascii="Times New Roman" w:hAnsi="Times New Roman" w:cs="Times New Roman"/>
                <w:color w:val="000000" w:themeColor="text1"/>
                <w:sz w:val="24"/>
                <w:szCs w:val="24"/>
                <w:lang w:val="el-GR"/>
              </w:rPr>
              <w:t xml:space="preserve">Αντιστοίχιση με τα νέα πτυχία των αντίστοιχων ή συναφών Τμημάτων ή κατευθύνσεων του </w:t>
            </w:r>
            <w:r w:rsidR="00FF77A8">
              <w:rPr>
                <w:rFonts w:ascii="Times New Roman" w:hAnsi="Times New Roman" w:cs="Times New Roman"/>
                <w:color w:val="000000" w:themeColor="text1"/>
                <w:sz w:val="24"/>
                <w:szCs w:val="24"/>
                <w:lang w:val="el-GR"/>
              </w:rPr>
              <w:t>ΠΑ.ΠΕΛ.</w:t>
            </w:r>
            <w:r w:rsidRPr="000819EA">
              <w:rPr>
                <w:rFonts w:ascii="Times New Roman" w:hAnsi="Times New Roman" w:cs="Times New Roman"/>
                <w:color w:val="000000" w:themeColor="text1"/>
                <w:sz w:val="24"/>
                <w:szCs w:val="24"/>
                <w:lang w:val="el-GR"/>
              </w:rPr>
              <w:t xml:space="preserve"> πενταετούς διάρκειας σπουδών κατόπιν παρακολούθησης μαθημάτων ενάμισι ακαδημαϊκού έτους για τους μη κατέχοντες συναφή τίτλο μεταπτυχιακών σπουδών ή αποδεδειγμένη συναφή εργασιακή εμπειρία τουλάχιστον τεσσεράμισι ετών, ακολουθώντας την συνήθη ακαδημαϊκή διαδικασία αντιστοίχισης των 10 ECTS ανά εξάμηνο πρακτικής άσκησης, άνευ ποσοστιαίων περιορισμών και κατόπιν αίτησης του εκάστοτε ενδιαφερομένου.</w:t>
            </w:r>
          </w:p>
          <w:p w14:paraId="6DEC0A00" w14:textId="77777777" w:rsidR="00A10E8E" w:rsidRPr="000819EA" w:rsidRDefault="00A10E8E">
            <w:pPr>
              <w:pStyle w:val="13"/>
              <w:rPr>
                <w:color w:val="000000" w:themeColor="text1"/>
                <w:lang w:val="el-GR"/>
              </w:rPr>
            </w:pPr>
          </w:p>
        </w:tc>
      </w:tr>
    </w:tbl>
    <w:p w14:paraId="62670EF3" w14:textId="41B729F5" w:rsidR="00A10E8E" w:rsidRPr="000819EA" w:rsidRDefault="00136595" w:rsidP="001C676C">
      <w:pPr>
        <w:pStyle w:val="12"/>
        <w:widowControl/>
        <w:numPr>
          <w:ilvl w:val="0"/>
          <w:numId w:val="4"/>
        </w:numPr>
        <w:spacing w:after="200" w:line="276" w:lineRule="auto"/>
        <w:jc w:val="both"/>
        <w:rPr>
          <w:rFonts w:ascii="Times New Roman" w:hAnsi="Times New Roman" w:cs="Times New Roman"/>
          <w:color w:val="000000" w:themeColor="text1"/>
          <w:sz w:val="24"/>
          <w:szCs w:val="24"/>
          <w:lang w:val="el-GR"/>
        </w:rPr>
      </w:pPr>
      <w:r w:rsidRPr="000819EA">
        <w:rPr>
          <w:rFonts w:ascii="Times New Roman" w:hAnsi="Times New Roman" w:cs="Times New Roman"/>
          <w:b/>
          <w:bCs/>
          <w:color w:val="000000" w:themeColor="text1"/>
          <w:sz w:val="24"/>
          <w:szCs w:val="24"/>
          <w:lang w:val="el-GR"/>
        </w:rPr>
        <w:t>Σχετικά με τμήματα που απέκτησαν νέο γνωστικό αντικείμενο, για τμήματα που καταργήθηκαν καθώς και για τον τρόπο διεξαγωγής των μαθημάτων</w:t>
      </w:r>
      <w:r w:rsidR="00FF77A8">
        <w:rPr>
          <w:rFonts w:ascii="Times New Roman" w:hAnsi="Times New Roman" w:cs="Times New Roman"/>
          <w:b/>
          <w:bCs/>
          <w:color w:val="000000" w:themeColor="text1"/>
          <w:sz w:val="24"/>
          <w:szCs w:val="24"/>
          <w:lang w:val="el-GR"/>
        </w:rPr>
        <w:t>.</w:t>
      </w:r>
    </w:p>
    <w:tbl>
      <w:tblPr>
        <w:tblW w:w="0" w:type="auto"/>
        <w:tblInd w:w="534" w:type="dxa"/>
        <w:tblLayout w:type="fixed"/>
        <w:tblLook w:val="0000" w:firstRow="0" w:lastRow="0" w:firstColumn="0" w:lastColumn="0" w:noHBand="0" w:noVBand="0"/>
      </w:tblPr>
      <w:tblGrid>
        <w:gridCol w:w="424"/>
        <w:gridCol w:w="8283"/>
      </w:tblGrid>
      <w:tr w:rsidR="000819EA" w:rsidRPr="00950758" w14:paraId="7D91CDFB" w14:textId="77777777">
        <w:tc>
          <w:tcPr>
            <w:tcW w:w="424" w:type="dxa"/>
            <w:shd w:val="clear" w:color="auto" w:fill="auto"/>
          </w:tcPr>
          <w:p w14:paraId="26B56821" w14:textId="77777777" w:rsidR="00A10E8E" w:rsidRPr="000819EA" w:rsidRDefault="00136595">
            <w:pPr>
              <w:pStyle w:val="13"/>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α)</w:t>
            </w:r>
          </w:p>
        </w:tc>
        <w:tc>
          <w:tcPr>
            <w:tcW w:w="8283" w:type="dxa"/>
            <w:shd w:val="clear" w:color="auto" w:fill="auto"/>
          </w:tcPr>
          <w:p w14:paraId="18688A64" w14:textId="77777777" w:rsidR="00A10E8E" w:rsidRPr="000819EA" w:rsidRDefault="00136595">
            <w:pPr>
              <w:pStyle w:val="13"/>
              <w:jc w:val="both"/>
              <w:rPr>
                <w:color w:val="000000" w:themeColor="text1"/>
                <w:lang w:val="el-GR"/>
              </w:rPr>
            </w:pPr>
            <w:r w:rsidRPr="000819EA">
              <w:rPr>
                <w:rFonts w:ascii="Times New Roman" w:hAnsi="Times New Roman" w:cs="Times New Roman"/>
                <w:color w:val="000000" w:themeColor="text1"/>
                <w:sz w:val="24"/>
                <w:szCs w:val="24"/>
                <w:lang w:val="el-GR"/>
              </w:rPr>
              <w:t>Σε όσα Τμήματα προκύπτουν κατόπιν των συγχωνεύσεων νέα επιστημονικά αντικείμενα και το ποσοστό των μη συναφών μαθημάτων στο νέο πρόγραμμα σπουδών ξεπερνά το 33% των διδαχθέντων μαθημάτων του παλαιού προγράμματος σπουδών ή επήλθε εν γένει σημαντική αλλαγή στο νέο πρόγραμμα σπουδών, να οριστεί η παρακολούθηση επιπλέον μαθημάτων από την Συνέλευση του οικείου Τμήματος. Σε κάθε περίπτωση, τα επιπλέον μαθήματα δεν δύνανται να ξεπερνούν τα 30 ECTS.</w:t>
            </w:r>
          </w:p>
        </w:tc>
      </w:tr>
      <w:tr w:rsidR="000819EA" w:rsidRPr="00950758" w14:paraId="22882A28" w14:textId="77777777">
        <w:tc>
          <w:tcPr>
            <w:tcW w:w="424" w:type="dxa"/>
            <w:shd w:val="clear" w:color="auto" w:fill="auto"/>
          </w:tcPr>
          <w:p w14:paraId="5D98041A" w14:textId="77777777" w:rsidR="00A10E8E" w:rsidRPr="000819EA" w:rsidRDefault="00136595">
            <w:pPr>
              <w:pStyle w:val="13"/>
              <w:jc w:val="both"/>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β)</w:t>
            </w:r>
          </w:p>
        </w:tc>
        <w:tc>
          <w:tcPr>
            <w:tcW w:w="8283" w:type="dxa"/>
            <w:shd w:val="clear" w:color="auto" w:fill="auto"/>
          </w:tcPr>
          <w:p w14:paraId="2BE24545" w14:textId="4302622D" w:rsidR="00A10E8E" w:rsidRPr="0075405A" w:rsidRDefault="000036B8">
            <w:pPr>
              <w:pStyle w:val="13"/>
              <w:jc w:val="both"/>
              <w:rPr>
                <w:rFonts w:ascii="Times New Roman" w:hAnsi="Times New Roman" w:cs="Times New Roman"/>
                <w:color w:val="000000" w:themeColor="text1"/>
                <w:sz w:val="24"/>
                <w:szCs w:val="24"/>
                <w:lang w:val="el-GR"/>
              </w:rPr>
            </w:pPr>
            <w:r w:rsidRPr="0075405A">
              <w:rPr>
                <w:rFonts w:ascii="Times New Roman" w:hAnsi="Times New Roman" w:cs="Times New Roman"/>
                <w:color w:val="000000" w:themeColor="text1"/>
                <w:sz w:val="24"/>
                <w:szCs w:val="24"/>
                <w:lang w:val="el-GR"/>
              </w:rPr>
              <w:t>Στις περιπτώσεις τμημάτων ή ειδικοτήτων που λειτουργούσαν ως πρόγραμμα σπουδών Τ.Ε.Ι. Καλαμάτας (προ νομοσχεδίου Αθηνά) ή ως Τ.Ε.Ι. Πελοποννήσου (προ εφαρμογής του ν. 4610/2019) και που καταργήθηκαν, να δίδεται η δυνατότητα αίτησης αντιστοίχισης σε έτερο Πανεπιστήμιο, στο οποίο υπάρχει αντίστοιχο ή συναφές Τμήμα ή κατεύθυνση.</w:t>
            </w:r>
          </w:p>
        </w:tc>
      </w:tr>
      <w:tr w:rsidR="000819EA" w:rsidRPr="00950758" w14:paraId="130C74DC" w14:textId="77777777">
        <w:tc>
          <w:tcPr>
            <w:tcW w:w="424" w:type="dxa"/>
            <w:shd w:val="clear" w:color="auto" w:fill="auto"/>
          </w:tcPr>
          <w:p w14:paraId="5CC5FBF3" w14:textId="77777777" w:rsidR="00A10E8E" w:rsidRPr="000819EA" w:rsidRDefault="00136595">
            <w:pPr>
              <w:pStyle w:val="13"/>
              <w:jc w:val="both"/>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γ)</w:t>
            </w:r>
          </w:p>
        </w:tc>
        <w:tc>
          <w:tcPr>
            <w:tcW w:w="8283" w:type="dxa"/>
            <w:shd w:val="clear" w:color="auto" w:fill="auto"/>
          </w:tcPr>
          <w:p w14:paraId="325F74B1" w14:textId="074A4467" w:rsidR="004F6319" w:rsidRPr="0075405A" w:rsidRDefault="004F6319">
            <w:pPr>
              <w:pStyle w:val="13"/>
              <w:jc w:val="both"/>
              <w:rPr>
                <w:color w:val="000000" w:themeColor="text1"/>
                <w:lang w:val="el-GR"/>
              </w:rPr>
            </w:pPr>
            <w:r w:rsidRPr="0075405A">
              <w:rPr>
                <w:rFonts w:ascii="Times New Roman" w:hAnsi="Times New Roman" w:cs="Times New Roman"/>
                <w:color w:val="000000" w:themeColor="text1"/>
                <w:sz w:val="24"/>
                <w:szCs w:val="24"/>
                <w:lang w:val="el-GR"/>
              </w:rPr>
              <w:t>Εις ότι αφορά το τμήμα Διοίκηση</w:t>
            </w:r>
            <w:r w:rsidR="000036B8" w:rsidRPr="0075405A">
              <w:rPr>
                <w:rFonts w:ascii="Times New Roman" w:hAnsi="Times New Roman" w:cs="Times New Roman"/>
                <w:color w:val="000000" w:themeColor="text1"/>
                <w:sz w:val="24"/>
                <w:szCs w:val="24"/>
                <w:lang w:val="el-GR"/>
              </w:rPr>
              <w:t>ς</w:t>
            </w:r>
            <w:r w:rsidRPr="0075405A">
              <w:rPr>
                <w:rFonts w:ascii="Times New Roman" w:hAnsi="Times New Roman" w:cs="Times New Roman"/>
                <w:color w:val="000000" w:themeColor="text1"/>
                <w:sz w:val="24"/>
                <w:szCs w:val="24"/>
                <w:lang w:val="el-GR"/>
              </w:rPr>
              <w:t xml:space="preserve"> Επιχειρήσεων και </w:t>
            </w:r>
            <w:r w:rsidR="000036B8" w:rsidRPr="0075405A">
              <w:rPr>
                <w:rFonts w:ascii="Times New Roman" w:hAnsi="Times New Roman" w:cs="Times New Roman"/>
                <w:color w:val="000000" w:themeColor="text1"/>
                <w:sz w:val="24"/>
                <w:szCs w:val="24"/>
                <w:lang w:val="el-GR"/>
              </w:rPr>
              <w:t>Ο</w:t>
            </w:r>
            <w:r w:rsidRPr="0075405A">
              <w:rPr>
                <w:rFonts w:ascii="Times New Roman" w:hAnsi="Times New Roman" w:cs="Times New Roman"/>
                <w:color w:val="000000" w:themeColor="text1"/>
                <w:sz w:val="24"/>
                <w:szCs w:val="24"/>
                <w:lang w:val="el-GR"/>
              </w:rPr>
              <w:t xml:space="preserve">ργανισμών του πρώην Τ.Ε.Ι. Πελοποννήσου υπήρχαν σαφής κατευθύνσεις όπως α) </w:t>
            </w:r>
            <w:r w:rsidR="00172932" w:rsidRPr="0075405A">
              <w:rPr>
                <w:rFonts w:ascii="Times New Roman" w:hAnsi="Times New Roman" w:cs="Times New Roman"/>
                <w:color w:val="000000" w:themeColor="text1"/>
                <w:sz w:val="24"/>
                <w:szCs w:val="24"/>
                <w:lang w:val="el-GR"/>
              </w:rPr>
              <w:t>Τ</w:t>
            </w:r>
            <w:r w:rsidRPr="0075405A">
              <w:rPr>
                <w:rFonts w:ascii="Times New Roman" w:hAnsi="Times New Roman" w:cs="Times New Roman"/>
                <w:color w:val="000000" w:themeColor="text1"/>
                <w:sz w:val="24"/>
                <w:szCs w:val="24"/>
                <w:lang w:val="el-GR"/>
              </w:rPr>
              <w:t xml:space="preserve">οπικής </w:t>
            </w:r>
            <w:r w:rsidR="00172932" w:rsidRPr="0075405A">
              <w:rPr>
                <w:rFonts w:ascii="Times New Roman" w:hAnsi="Times New Roman" w:cs="Times New Roman"/>
                <w:color w:val="000000" w:themeColor="text1"/>
                <w:sz w:val="24"/>
                <w:szCs w:val="24"/>
                <w:lang w:val="el-GR"/>
              </w:rPr>
              <w:t>Α</w:t>
            </w:r>
            <w:r w:rsidRPr="0075405A">
              <w:rPr>
                <w:rFonts w:ascii="Times New Roman" w:hAnsi="Times New Roman" w:cs="Times New Roman"/>
                <w:color w:val="000000" w:themeColor="text1"/>
                <w:sz w:val="24"/>
                <w:szCs w:val="24"/>
                <w:lang w:val="el-GR"/>
              </w:rPr>
              <w:t xml:space="preserve">υτοδιοίκησης  (ΔΕΟ-ΤΑ) και </w:t>
            </w:r>
            <w:r w:rsidR="00172932" w:rsidRPr="0075405A">
              <w:rPr>
                <w:rFonts w:ascii="Times New Roman" w:hAnsi="Times New Roman" w:cs="Times New Roman"/>
                <w:color w:val="000000" w:themeColor="text1"/>
                <w:sz w:val="24"/>
                <w:szCs w:val="24"/>
                <w:lang w:val="el-GR"/>
              </w:rPr>
              <w:t>Διοίκησης Μονάδων Υγείας και Πρόνοιας (ΔΕΟ-ΔΜΥΠ) κάτι που πλέον δεν υπάρχει σε κανένα πλέον Α.Ε.Ι. σε όλη την επικράτεια. Προτείνουμε την επανεξέταση σαφών κατευθύνσεων σε αντίστοιχα ή συναφή τμήματα του ΠΑ.ΠΕΛ., που να αποδίδουν και αντίστοιχα εργασιακά δικαιώματα.</w:t>
            </w:r>
          </w:p>
        </w:tc>
      </w:tr>
      <w:tr w:rsidR="000819EA" w:rsidRPr="00950758" w14:paraId="650B0CD0" w14:textId="77777777">
        <w:tc>
          <w:tcPr>
            <w:tcW w:w="424" w:type="dxa"/>
            <w:shd w:val="clear" w:color="auto" w:fill="auto"/>
          </w:tcPr>
          <w:p w14:paraId="5FEBC521" w14:textId="77777777" w:rsidR="00A10E8E" w:rsidRPr="000819EA" w:rsidRDefault="00136595">
            <w:pPr>
              <w:pStyle w:val="13"/>
              <w:jc w:val="both"/>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δ)</w:t>
            </w:r>
          </w:p>
        </w:tc>
        <w:tc>
          <w:tcPr>
            <w:tcW w:w="8283" w:type="dxa"/>
            <w:shd w:val="clear" w:color="auto" w:fill="auto"/>
          </w:tcPr>
          <w:p w14:paraId="72F67F71" w14:textId="21BB6728" w:rsidR="00A10E8E" w:rsidRPr="000819EA" w:rsidRDefault="000036B8">
            <w:pPr>
              <w:pStyle w:val="13"/>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Εις ότι αφορά την </w:t>
            </w:r>
            <w:r w:rsidR="00136595" w:rsidRPr="000819EA">
              <w:rPr>
                <w:rFonts w:ascii="Times New Roman" w:hAnsi="Times New Roman" w:cs="Times New Roman"/>
                <w:color w:val="000000" w:themeColor="text1"/>
                <w:sz w:val="24"/>
                <w:szCs w:val="24"/>
                <w:lang w:val="el-GR"/>
              </w:rPr>
              <w:t xml:space="preserve">διαδικασία </w:t>
            </w:r>
            <w:r>
              <w:rPr>
                <w:rFonts w:ascii="Times New Roman" w:hAnsi="Times New Roman" w:cs="Times New Roman"/>
                <w:color w:val="000000" w:themeColor="text1"/>
                <w:sz w:val="24"/>
                <w:szCs w:val="24"/>
                <w:lang w:val="el-GR"/>
              </w:rPr>
              <w:t>συμμετοχής</w:t>
            </w:r>
            <w:r w:rsidR="00A54E51">
              <w:rPr>
                <w:rFonts w:ascii="Times New Roman" w:hAnsi="Times New Roman" w:cs="Times New Roman"/>
                <w:color w:val="000000" w:themeColor="text1"/>
                <w:sz w:val="24"/>
                <w:szCs w:val="24"/>
                <w:lang w:val="el-GR"/>
              </w:rPr>
              <w:t xml:space="preserve"> – </w:t>
            </w:r>
            <w:r w:rsidR="00136595" w:rsidRPr="000819EA">
              <w:rPr>
                <w:rFonts w:ascii="Times New Roman" w:hAnsi="Times New Roman" w:cs="Times New Roman"/>
                <w:color w:val="000000" w:themeColor="text1"/>
                <w:sz w:val="24"/>
                <w:szCs w:val="24"/>
                <w:lang w:val="el-GR"/>
              </w:rPr>
              <w:t xml:space="preserve">παρακολούθησης και εξέτασης των μαθημάτων που εφαρμόζεται μέσω διαδικασιών αντιστοίχισης να πραγματοποιείται εξ αποστάσεως καθότι πολλοί απόφοιτοι του πρώην Τ.Ε.Ι. </w:t>
            </w:r>
            <w:r w:rsidR="004F6319">
              <w:rPr>
                <w:rFonts w:ascii="Times New Roman" w:hAnsi="Times New Roman" w:cs="Times New Roman"/>
                <w:color w:val="000000" w:themeColor="text1"/>
                <w:sz w:val="24"/>
                <w:szCs w:val="24"/>
                <w:lang w:val="el-GR"/>
              </w:rPr>
              <w:t>Πελοποννήσου</w:t>
            </w:r>
            <w:r w:rsidR="00136595" w:rsidRPr="000819EA">
              <w:rPr>
                <w:rFonts w:ascii="Times New Roman" w:hAnsi="Times New Roman" w:cs="Times New Roman"/>
                <w:color w:val="000000" w:themeColor="text1"/>
                <w:sz w:val="24"/>
                <w:szCs w:val="24"/>
                <w:lang w:val="el-GR"/>
              </w:rPr>
              <w:t xml:space="preserve"> έχουν μετακινηθεί οριστικώς σε διαφορετική τοποθεσία από αυτήν που βρίσκεται το </w:t>
            </w:r>
            <w:r w:rsidR="00A54E51">
              <w:rPr>
                <w:rFonts w:ascii="Times New Roman" w:hAnsi="Times New Roman" w:cs="Times New Roman"/>
                <w:color w:val="000000" w:themeColor="text1"/>
                <w:sz w:val="24"/>
                <w:szCs w:val="24"/>
                <w:lang w:val="el-GR"/>
              </w:rPr>
              <w:t>Πανεπιστήμιο Πελοποννήσου</w:t>
            </w:r>
            <w:r w:rsidR="00136595" w:rsidRPr="000819EA">
              <w:rPr>
                <w:rFonts w:ascii="Times New Roman" w:hAnsi="Times New Roman" w:cs="Times New Roman"/>
                <w:color w:val="000000" w:themeColor="text1"/>
                <w:sz w:val="24"/>
                <w:szCs w:val="24"/>
                <w:lang w:val="el-GR"/>
              </w:rPr>
              <w:t xml:space="preserve"> ή πλέον εργάζονται με αποτέλεσμα να αδυνατούν να παρακολουθήσουν μαθήματα τις πρωινές ώρες. Ούτως ή άλλως η εξ αποστάσεως εκπαίδευση αποτελεί, σε εθνικό αλλά και σε υπερεθνικό επίπεδο, μια θεσμοθετημένη μορφή εκπαίδευσης. Επιπλέον, η εξ αποστάσεως εκπαίδευση έχει εφαρμοστεί από το Ελληνικό κράτος ως ενδεικτικός τρόπος εκπαίδευσης σε περιόδους κρίσεως. Ως εκ τούτου, για όποιες από τις ανωτέρω περιπτώσεις συνιστάται η παρακολούθηση επιπλέον μαθημάτων προτείνονται οι εξ αποστάσεως διαδικασίες χάριν διευκόλυνσης τόσο των αποφοίτων όσο και των τμημάτων.</w:t>
            </w:r>
          </w:p>
          <w:p w14:paraId="758406F0" w14:textId="77777777" w:rsidR="00A10E8E" w:rsidRPr="000819EA" w:rsidRDefault="00A10E8E">
            <w:pPr>
              <w:pStyle w:val="13"/>
              <w:jc w:val="both"/>
              <w:rPr>
                <w:rFonts w:ascii="Times New Roman" w:hAnsi="Times New Roman" w:cs="Times New Roman"/>
                <w:color w:val="000000" w:themeColor="text1"/>
                <w:sz w:val="24"/>
                <w:szCs w:val="24"/>
                <w:lang w:val="el-GR"/>
              </w:rPr>
            </w:pPr>
          </w:p>
        </w:tc>
      </w:tr>
    </w:tbl>
    <w:p w14:paraId="73F7697E" w14:textId="77777777" w:rsidR="00A10E8E" w:rsidRPr="000819EA" w:rsidRDefault="00136595" w:rsidP="001C676C">
      <w:pPr>
        <w:pStyle w:val="12"/>
        <w:widowControl/>
        <w:numPr>
          <w:ilvl w:val="0"/>
          <w:numId w:val="4"/>
        </w:numPr>
        <w:spacing w:after="200" w:line="276" w:lineRule="auto"/>
        <w:jc w:val="both"/>
        <w:rPr>
          <w:rFonts w:ascii="Times New Roman" w:hAnsi="Times New Roman" w:cs="Times New Roman"/>
          <w:color w:val="000000" w:themeColor="text1"/>
          <w:sz w:val="24"/>
          <w:szCs w:val="24"/>
          <w:lang w:val="el-GR"/>
        </w:rPr>
      </w:pPr>
      <w:r w:rsidRPr="000819EA">
        <w:rPr>
          <w:rFonts w:ascii="Times New Roman" w:hAnsi="Times New Roman" w:cs="Times New Roman"/>
          <w:b/>
          <w:color w:val="000000" w:themeColor="text1"/>
          <w:sz w:val="24"/>
          <w:szCs w:val="24"/>
          <w:lang w:val="el-GR"/>
        </w:rPr>
        <w:t>Πλήρη και ως προς κάθε συνέπεια ισοτίμηση των πτυχίων των Α.Ε.Ι. Τ.Τ. με τα πτυχία των Α.Ε.Ι. Π.Τ.:</w:t>
      </w:r>
    </w:p>
    <w:p w14:paraId="7596F01F" w14:textId="39163044" w:rsidR="00A10E8E" w:rsidRPr="000819EA" w:rsidRDefault="00136595">
      <w:pPr>
        <w:widowControl/>
        <w:spacing w:after="200" w:line="276" w:lineRule="auto"/>
        <w:ind w:left="426"/>
        <w:jc w:val="both"/>
        <w:rPr>
          <w:rFonts w:ascii="Times New Roman" w:hAnsi="Times New Roman" w:cs="Times New Roman"/>
          <w:b/>
          <w:color w:val="000000" w:themeColor="text1"/>
          <w:sz w:val="24"/>
          <w:szCs w:val="24"/>
          <w:lang w:val="el-GR"/>
        </w:rPr>
      </w:pPr>
      <w:r w:rsidRPr="000819EA">
        <w:rPr>
          <w:rFonts w:ascii="Times New Roman" w:hAnsi="Times New Roman" w:cs="Times New Roman"/>
          <w:color w:val="000000" w:themeColor="text1"/>
          <w:sz w:val="24"/>
          <w:szCs w:val="24"/>
          <w:lang w:val="el-GR"/>
        </w:rPr>
        <w:lastRenderedPageBreak/>
        <w:t xml:space="preserve">Επί τη βάσει των συστάσεων και πρακτικών της Ευρωπαϊκής Ένωσης, αιτούμαστε την άρση της όποιας διάκρισης διατηρείται στον δημοσιοϋπαλληλικό κώδικα, στις προκηρύξεις θέσεων στον δημόσιο τομέα και στα </w:t>
      </w:r>
      <w:r w:rsidR="0075405A" w:rsidRPr="000819EA">
        <w:rPr>
          <w:rFonts w:ascii="Times New Roman" w:hAnsi="Times New Roman" w:cs="Times New Roman"/>
          <w:color w:val="000000" w:themeColor="text1"/>
          <w:sz w:val="24"/>
          <w:szCs w:val="24"/>
          <w:lang w:val="el-GR"/>
        </w:rPr>
        <w:t>εκδιδόμενα</w:t>
      </w:r>
      <w:r w:rsidRPr="000819EA">
        <w:rPr>
          <w:rFonts w:ascii="Times New Roman" w:hAnsi="Times New Roman" w:cs="Times New Roman"/>
          <w:color w:val="000000" w:themeColor="text1"/>
          <w:sz w:val="24"/>
          <w:szCs w:val="24"/>
          <w:lang w:val="el-GR"/>
        </w:rPr>
        <w:t xml:space="preserve"> επαγγελματικά δικαιώματα, ανάμεσα σε τίτλους σπουδών έκτου επιπέδου του Ευρωπαϊκού και Εθνικού Πλαισίου Προσόντων, που εκδόθηκαν από τα </w:t>
      </w:r>
      <w:r w:rsidRPr="000819EA">
        <w:rPr>
          <w:rFonts w:ascii="Times New Roman" w:hAnsi="Times New Roman" w:cs="Times New Roman"/>
          <w:b/>
          <w:color w:val="000000" w:themeColor="text1"/>
          <w:sz w:val="24"/>
          <w:szCs w:val="24"/>
          <w:lang w:val="el-GR"/>
        </w:rPr>
        <w:t>Ανώτατα Εκπαιδευτικά Ιδρύματα Τεχνολογικού Τομέα</w:t>
      </w:r>
      <w:r w:rsidRPr="000819EA">
        <w:rPr>
          <w:rFonts w:ascii="Times New Roman" w:hAnsi="Times New Roman" w:cs="Times New Roman"/>
          <w:color w:val="000000" w:themeColor="text1"/>
          <w:sz w:val="24"/>
          <w:szCs w:val="24"/>
          <w:lang w:val="el-GR"/>
        </w:rPr>
        <w:t xml:space="preserve"> και από τα </w:t>
      </w:r>
      <w:r w:rsidRPr="000819EA">
        <w:rPr>
          <w:rFonts w:ascii="Times New Roman" w:hAnsi="Times New Roman" w:cs="Times New Roman"/>
          <w:b/>
          <w:color w:val="000000" w:themeColor="text1"/>
          <w:sz w:val="24"/>
          <w:szCs w:val="24"/>
          <w:lang w:val="el-GR"/>
        </w:rPr>
        <w:t>Ανώτατα Εκπαιδευτικά Ιδρύματα Πανεπιστημιακού Τομέα.</w:t>
      </w:r>
    </w:p>
    <w:p w14:paraId="5E373053" w14:textId="5084555F" w:rsidR="00A10E8E" w:rsidRPr="00856E46" w:rsidRDefault="001C676C" w:rsidP="00856E46">
      <w:pPr>
        <w:pStyle w:val="12"/>
        <w:widowControl/>
        <w:numPr>
          <w:ilvl w:val="0"/>
          <w:numId w:val="4"/>
        </w:numPr>
        <w:spacing w:after="200" w:line="276" w:lineRule="auto"/>
        <w:jc w:val="both"/>
        <w:rPr>
          <w:rFonts w:ascii="Times New Roman" w:hAnsi="Times New Roman" w:cs="Times New Roman"/>
          <w:b/>
          <w:color w:val="000000" w:themeColor="text1"/>
          <w:sz w:val="24"/>
          <w:szCs w:val="24"/>
          <w:lang w:val="el-GR"/>
        </w:rPr>
      </w:pPr>
      <w:r w:rsidRPr="000819EA">
        <w:rPr>
          <w:rFonts w:ascii="Times New Roman" w:hAnsi="Times New Roman" w:cs="Times New Roman"/>
          <w:b/>
          <w:color w:val="000000" w:themeColor="text1"/>
          <w:sz w:val="24"/>
          <w:szCs w:val="24"/>
          <w:lang w:val="el-GR"/>
        </w:rPr>
        <w:t xml:space="preserve">Την αυτοδίκαιη ένταξη των φοιτητών </w:t>
      </w:r>
      <w:r w:rsidR="00C872F6">
        <w:rPr>
          <w:rFonts w:ascii="Times New Roman" w:hAnsi="Times New Roman" w:cs="Times New Roman"/>
          <w:b/>
          <w:color w:val="000000" w:themeColor="text1"/>
          <w:sz w:val="24"/>
          <w:szCs w:val="24"/>
          <w:lang w:val="el-GR"/>
        </w:rPr>
        <w:t xml:space="preserve">προσωρινού </w:t>
      </w:r>
      <w:r w:rsidRPr="000819EA">
        <w:rPr>
          <w:rFonts w:ascii="Times New Roman" w:hAnsi="Times New Roman" w:cs="Times New Roman"/>
          <w:b/>
          <w:color w:val="000000" w:themeColor="text1"/>
          <w:sz w:val="24"/>
          <w:szCs w:val="24"/>
          <w:lang w:val="el-GR"/>
        </w:rPr>
        <w:t>κύκλου σπουδών</w:t>
      </w:r>
      <w:r w:rsidR="00856E46" w:rsidRPr="00856E46">
        <w:rPr>
          <w:rFonts w:ascii="Times New Roman" w:hAnsi="Times New Roman" w:cs="Times New Roman"/>
          <w:b/>
          <w:color w:val="000000" w:themeColor="text1"/>
          <w:sz w:val="24"/>
          <w:szCs w:val="24"/>
          <w:lang w:val="el-GR"/>
        </w:rPr>
        <w:t xml:space="preserve"> </w:t>
      </w:r>
      <w:r w:rsidR="00856E46">
        <w:rPr>
          <w:rFonts w:ascii="Times New Roman" w:hAnsi="Times New Roman" w:cs="Times New Roman"/>
          <w:b/>
          <w:color w:val="000000" w:themeColor="text1"/>
          <w:sz w:val="24"/>
          <w:szCs w:val="24"/>
        </w:rPr>
        <w:t>T</w:t>
      </w:r>
      <w:r w:rsidR="00856E46" w:rsidRPr="00856E46">
        <w:rPr>
          <w:rFonts w:ascii="Times New Roman" w:hAnsi="Times New Roman" w:cs="Times New Roman"/>
          <w:b/>
          <w:color w:val="000000" w:themeColor="text1"/>
          <w:sz w:val="24"/>
          <w:szCs w:val="24"/>
          <w:lang w:val="el-GR"/>
        </w:rPr>
        <w:t>.</w:t>
      </w:r>
      <w:r w:rsidR="00856E46">
        <w:rPr>
          <w:rFonts w:ascii="Times New Roman" w:hAnsi="Times New Roman" w:cs="Times New Roman"/>
          <w:b/>
          <w:color w:val="000000" w:themeColor="text1"/>
          <w:sz w:val="24"/>
          <w:szCs w:val="24"/>
        </w:rPr>
        <w:t>E</w:t>
      </w:r>
      <w:r w:rsidR="00856E46" w:rsidRPr="00856E46">
        <w:rPr>
          <w:rFonts w:ascii="Times New Roman" w:hAnsi="Times New Roman" w:cs="Times New Roman"/>
          <w:b/>
          <w:color w:val="000000" w:themeColor="text1"/>
          <w:sz w:val="24"/>
          <w:szCs w:val="24"/>
          <w:lang w:val="el-GR"/>
        </w:rPr>
        <w:t>.</w:t>
      </w:r>
      <w:r w:rsidR="00856E46">
        <w:rPr>
          <w:rFonts w:ascii="Times New Roman" w:hAnsi="Times New Roman" w:cs="Times New Roman"/>
          <w:b/>
          <w:color w:val="000000" w:themeColor="text1"/>
          <w:sz w:val="24"/>
          <w:szCs w:val="24"/>
        </w:rPr>
        <w:t>I</w:t>
      </w:r>
      <w:r w:rsidR="00856E46" w:rsidRPr="00856E46">
        <w:rPr>
          <w:rFonts w:ascii="Times New Roman" w:hAnsi="Times New Roman" w:cs="Times New Roman"/>
          <w:b/>
          <w:color w:val="000000" w:themeColor="text1"/>
          <w:sz w:val="24"/>
          <w:szCs w:val="24"/>
          <w:lang w:val="el-GR"/>
        </w:rPr>
        <w:t>.</w:t>
      </w:r>
      <w:r w:rsidR="000C2E89">
        <w:rPr>
          <w:rFonts w:ascii="Times New Roman" w:hAnsi="Times New Roman" w:cs="Times New Roman"/>
          <w:b/>
          <w:color w:val="000000" w:themeColor="text1"/>
          <w:sz w:val="24"/>
          <w:szCs w:val="24"/>
          <w:lang w:val="el-GR"/>
        </w:rPr>
        <w:t xml:space="preserve"> </w:t>
      </w:r>
      <w:r w:rsidR="00C872F6">
        <w:rPr>
          <w:rFonts w:ascii="Times New Roman" w:hAnsi="Times New Roman" w:cs="Times New Roman"/>
          <w:b/>
          <w:color w:val="000000" w:themeColor="text1"/>
          <w:sz w:val="24"/>
          <w:szCs w:val="24"/>
          <w:lang w:val="el-GR"/>
        </w:rPr>
        <w:t>Πελοποννήσου</w:t>
      </w:r>
      <w:r w:rsidRPr="00856E46">
        <w:rPr>
          <w:rFonts w:ascii="Times New Roman" w:hAnsi="Times New Roman" w:cs="Times New Roman"/>
          <w:b/>
          <w:color w:val="000000" w:themeColor="text1"/>
          <w:sz w:val="24"/>
          <w:szCs w:val="24"/>
          <w:lang w:val="el-GR"/>
        </w:rPr>
        <w:t xml:space="preserve"> Τ.Ε.</w:t>
      </w:r>
      <w:r w:rsidR="00030DD9">
        <w:rPr>
          <w:rFonts w:ascii="Times New Roman" w:hAnsi="Times New Roman" w:cs="Times New Roman"/>
          <w:b/>
          <w:color w:val="000000" w:themeColor="text1"/>
          <w:sz w:val="24"/>
          <w:szCs w:val="24"/>
          <w:lang w:val="el-GR"/>
        </w:rPr>
        <w:t xml:space="preserve"> του </w:t>
      </w:r>
      <w:r w:rsidR="00C872F6">
        <w:rPr>
          <w:rFonts w:ascii="Times New Roman" w:hAnsi="Times New Roman" w:cs="Times New Roman"/>
          <w:b/>
          <w:color w:val="000000" w:themeColor="text1"/>
          <w:sz w:val="24"/>
          <w:szCs w:val="24"/>
          <w:lang w:val="el-GR"/>
        </w:rPr>
        <w:t>ΠΑ.ΠΕΛ.,</w:t>
      </w:r>
      <w:r w:rsidRPr="00856E46">
        <w:rPr>
          <w:rFonts w:ascii="Times New Roman" w:hAnsi="Times New Roman" w:cs="Times New Roman"/>
          <w:b/>
          <w:color w:val="000000" w:themeColor="text1"/>
          <w:sz w:val="24"/>
          <w:szCs w:val="24"/>
          <w:lang w:val="el-GR"/>
        </w:rPr>
        <w:t xml:space="preserve"> στα αντίστοιχα νέα </w:t>
      </w:r>
      <w:r w:rsidR="00856E46">
        <w:rPr>
          <w:rFonts w:ascii="Times New Roman" w:hAnsi="Times New Roman" w:cs="Times New Roman"/>
          <w:b/>
          <w:color w:val="000000" w:themeColor="text1"/>
          <w:sz w:val="24"/>
          <w:szCs w:val="24"/>
          <w:lang w:val="el-GR"/>
        </w:rPr>
        <w:t>προγράμματα</w:t>
      </w:r>
      <w:r w:rsidRPr="00856E46">
        <w:rPr>
          <w:rFonts w:ascii="Times New Roman" w:hAnsi="Times New Roman" w:cs="Times New Roman"/>
          <w:b/>
          <w:color w:val="000000" w:themeColor="text1"/>
          <w:sz w:val="24"/>
          <w:szCs w:val="24"/>
          <w:lang w:val="el-GR"/>
        </w:rPr>
        <w:t xml:space="preserve"> σπουδών</w:t>
      </w:r>
      <w:r w:rsidR="009341C1">
        <w:rPr>
          <w:rFonts w:ascii="Times New Roman" w:hAnsi="Times New Roman" w:cs="Times New Roman"/>
          <w:b/>
          <w:color w:val="000000" w:themeColor="text1"/>
          <w:sz w:val="24"/>
          <w:szCs w:val="24"/>
          <w:lang w:val="el-GR"/>
        </w:rPr>
        <w:t xml:space="preserve"> του Πανεπιστημίου</w:t>
      </w:r>
      <w:r w:rsidRPr="00856E46">
        <w:rPr>
          <w:rFonts w:ascii="Times New Roman" w:hAnsi="Times New Roman" w:cs="Times New Roman"/>
          <w:b/>
          <w:color w:val="000000" w:themeColor="text1"/>
          <w:sz w:val="24"/>
          <w:szCs w:val="24"/>
          <w:lang w:val="el-GR"/>
        </w:rPr>
        <w:t>.</w:t>
      </w:r>
    </w:p>
    <w:p w14:paraId="3FEE098D" w14:textId="42763C7C" w:rsidR="00A10E8E" w:rsidRPr="000819EA" w:rsidRDefault="00A10E8E" w:rsidP="001C676C">
      <w:pPr>
        <w:widowControl/>
        <w:tabs>
          <w:tab w:val="left" w:pos="7455"/>
        </w:tabs>
        <w:spacing w:after="200" w:line="360" w:lineRule="auto"/>
        <w:rPr>
          <w:rFonts w:ascii="Times New Roman" w:hAnsi="Times New Roman" w:cs="Times New Roman"/>
          <w:color w:val="000000" w:themeColor="text1"/>
          <w:sz w:val="24"/>
          <w:szCs w:val="24"/>
          <w:lang w:val="el-GR"/>
        </w:rPr>
      </w:pPr>
    </w:p>
    <w:p w14:paraId="09060A14" w14:textId="7556A69D" w:rsidR="001C676C" w:rsidRPr="000819EA" w:rsidRDefault="001C676C" w:rsidP="001C676C">
      <w:pPr>
        <w:widowControl/>
        <w:tabs>
          <w:tab w:val="left" w:pos="7455"/>
        </w:tabs>
        <w:spacing w:after="200" w:line="360" w:lineRule="auto"/>
        <w:rPr>
          <w:rFonts w:ascii="Times New Roman" w:hAnsi="Times New Roman" w:cs="Times New Roman"/>
          <w:color w:val="000000" w:themeColor="text1"/>
          <w:sz w:val="24"/>
          <w:szCs w:val="24"/>
          <w:lang w:val="el-GR"/>
        </w:rPr>
      </w:pPr>
    </w:p>
    <w:p w14:paraId="29F14AEE" w14:textId="0B479F28" w:rsidR="00A10E8E" w:rsidRPr="000819EA" w:rsidRDefault="00136595">
      <w:pPr>
        <w:widowControl/>
        <w:tabs>
          <w:tab w:val="left" w:pos="7455"/>
        </w:tabs>
        <w:spacing w:after="200" w:line="360" w:lineRule="auto"/>
        <w:jc w:val="center"/>
        <w:rPr>
          <w:rFonts w:ascii="Times New Roman" w:hAnsi="Times New Roman" w:cs="Times New Roman"/>
          <w:color w:val="000000" w:themeColor="text1"/>
          <w:sz w:val="24"/>
          <w:szCs w:val="24"/>
          <w:lang w:val="el-GR"/>
        </w:rPr>
      </w:pPr>
      <w:r w:rsidRPr="000819EA">
        <w:rPr>
          <w:rFonts w:ascii="Times New Roman" w:hAnsi="Times New Roman" w:cs="Times New Roman"/>
          <w:color w:val="000000" w:themeColor="text1"/>
          <w:sz w:val="24"/>
          <w:szCs w:val="24"/>
          <w:lang w:val="el-GR"/>
        </w:rPr>
        <w:t>Με την προσήκουσα τιμή,</w:t>
      </w:r>
    </w:p>
    <w:p w14:paraId="28D444BC" w14:textId="77777777" w:rsidR="00A10E8E" w:rsidRPr="000819EA" w:rsidRDefault="00A10E8E">
      <w:pPr>
        <w:widowControl/>
        <w:jc w:val="center"/>
        <w:rPr>
          <w:rFonts w:ascii="Times New Roman" w:hAnsi="Times New Roman" w:cs="Times New Roman"/>
          <w:color w:val="000000" w:themeColor="text1"/>
          <w:sz w:val="24"/>
          <w:szCs w:val="24"/>
          <w:lang w:val="el-GR"/>
        </w:rPr>
      </w:pPr>
    </w:p>
    <w:p w14:paraId="0D596951" w14:textId="0F22CF2D" w:rsidR="00A10E8E" w:rsidRPr="000819EA" w:rsidRDefault="008231D1" w:rsidP="008231D1">
      <w:pPr>
        <w:widowControl/>
        <w:jc w:val="center"/>
        <w:rPr>
          <w:rFonts w:ascii="Times New Roman" w:hAnsi="Times New Roman" w:cs="Times New Roman"/>
          <w:color w:val="000000" w:themeColor="text1"/>
          <w:sz w:val="24"/>
          <w:szCs w:val="24"/>
          <w:lang w:val="el-GR"/>
        </w:rPr>
      </w:pPr>
      <w:r>
        <w:rPr>
          <w:rFonts w:ascii="Times New Roman" w:hAnsi="Times New Roman" w:cs="Times New Roman"/>
          <w:color w:val="000000" w:themeColor="text1"/>
          <w:lang w:val="el-GR"/>
        </w:rPr>
        <w:t>Μιχάλης Φακουρέλης</w:t>
      </w:r>
    </w:p>
    <w:p w14:paraId="3A2A0857" w14:textId="6C8BC44D" w:rsidR="00A10E8E" w:rsidRPr="000819EA" w:rsidRDefault="00A10E8E">
      <w:pPr>
        <w:widowControl/>
        <w:jc w:val="both"/>
        <w:rPr>
          <w:rFonts w:ascii="Times New Roman" w:hAnsi="Times New Roman" w:cs="Times New Roman"/>
          <w:color w:val="000000" w:themeColor="text1"/>
          <w:sz w:val="24"/>
          <w:szCs w:val="24"/>
          <w:lang w:val="el-GR"/>
        </w:rPr>
      </w:pPr>
    </w:p>
    <w:tbl>
      <w:tblPr>
        <w:tblW w:w="10241" w:type="dxa"/>
        <w:tblInd w:w="-743" w:type="dxa"/>
        <w:tblLayout w:type="fixed"/>
        <w:tblLook w:val="0000" w:firstRow="0" w:lastRow="0" w:firstColumn="0" w:lastColumn="0" w:noHBand="0" w:noVBand="0"/>
      </w:tblPr>
      <w:tblGrid>
        <w:gridCol w:w="5274"/>
        <w:gridCol w:w="4967"/>
      </w:tblGrid>
      <w:tr w:rsidR="000819EA" w:rsidRPr="00950758" w14:paraId="759005AD" w14:textId="77777777" w:rsidTr="008231D1">
        <w:trPr>
          <w:trHeight w:val="1010"/>
        </w:trPr>
        <w:tc>
          <w:tcPr>
            <w:tcW w:w="5274" w:type="dxa"/>
            <w:shd w:val="clear" w:color="auto" w:fill="auto"/>
          </w:tcPr>
          <w:p w14:paraId="798EC91E" w14:textId="77777777" w:rsidR="00A10E8E" w:rsidRPr="000819EA" w:rsidRDefault="00A10E8E" w:rsidP="008231D1">
            <w:pPr>
              <w:pStyle w:val="13"/>
              <w:snapToGrid w:val="0"/>
              <w:jc w:val="center"/>
              <w:rPr>
                <w:rFonts w:ascii="Times New Roman" w:hAnsi="Times New Roman" w:cs="Times New Roman"/>
                <w:color w:val="000000" w:themeColor="text1"/>
                <w:lang w:val="el-GR"/>
              </w:rPr>
            </w:pPr>
          </w:p>
          <w:p w14:paraId="49D27A17" w14:textId="4572A20D" w:rsidR="00A10E8E" w:rsidRPr="000819EA" w:rsidRDefault="00C872F6" w:rsidP="008231D1">
            <w:pPr>
              <w:pStyle w:val="13"/>
              <w:jc w:val="center"/>
              <w:rPr>
                <w:rFonts w:ascii="Times New Roman" w:hAnsi="Times New Roman" w:cs="Times New Roman"/>
                <w:color w:val="000000" w:themeColor="text1"/>
                <w:lang w:val="el-GR"/>
              </w:rPr>
            </w:pPr>
            <w:r>
              <w:rPr>
                <w:rFonts w:ascii="Times New Roman" w:hAnsi="Times New Roman" w:cs="Times New Roman"/>
                <w:color w:val="000000" w:themeColor="text1"/>
                <w:lang w:val="el-GR"/>
              </w:rPr>
              <w:br/>
            </w:r>
            <w:r>
              <w:rPr>
                <w:rFonts w:ascii="Times New Roman" w:hAnsi="Times New Roman" w:cs="Times New Roman"/>
                <w:color w:val="000000" w:themeColor="text1"/>
                <w:lang w:val="el-GR"/>
              </w:rPr>
              <w:br/>
            </w:r>
          </w:p>
        </w:tc>
        <w:tc>
          <w:tcPr>
            <w:tcW w:w="4967" w:type="dxa"/>
            <w:shd w:val="clear" w:color="auto" w:fill="auto"/>
          </w:tcPr>
          <w:p w14:paraId="2AA2A58A" w14:textId="26CF7651" w:rsidR="00A10E8E" w:rsidRPr="000819EA" w:rsidRDefault="00A10E8E" w:rsidP="008231D1">
            <w:pPr>
              <w:pStyle w:val="13"/>
              <w:snapToGrid w:val="0"/>
              <w:jc w:val="center"/>
              <w:rPr>
                <w:rFonts w:ascii="Times New Roman" w:hAnsi="Times New Roman" w:cs="Times New Roman"/>
                <w:color w:val="000000" w:themeColor="text1"/>
                <w:lang w:val="el-GR"/>
              </w:rPr>
            </w:pPr>
          </w:p>
          <w:p w14:paraId="355E1673" w14:textId="552DEE00" w:rsidR="00A10E8E" w:rsidRPr="00C872F6" w:rsidRDefault="00A10E8E" w:rsidP="008231D1">
            <w:pPr>
              <w:pStyle w:val="13"/>
              <w:jc w:val="center"/>
              <w:rPr>
                <w:rFonts w:ascii="Times New Roman" w:hAnsi="Times New Roman" w:cs="Times New Roman"/>
                <w:color w:val="000000" w:themeColor="text1"/>
                <w:lang w:val="el-GR"/>
              </w:rPr>
            </w:pPr>
          </w:p>
        </w:tc>
      </w:tr>
      <w:tr w:rsidR="008231D1" w:rsidRPr="00950758" w14:paraId="7D780FE8" w14:textId="77777777" w:rsidTr="008231D1">
        <w:trPr>
          <w:trHeight w:val="1010"/>
        </w:trPr>
        <w:tc>
          <w:tcPr>
            <w:tcW w:w="5274" w:type="dxa"/>
            <w:shd w:val="clear" w:color="auto" w:fill="auto"/>
          </w:tcPr>
          <w:p w14:paraId="3A62F1C6" w14:textId="77777777" w:rsidR="008231D1" w:rsidRPr="000819EA" w:rsidRDefault="008231D1" w:rsidP="008231D1">
            <w:pPr>
              <w:pStyle w:val="13"/>
              <w:snapToGrid w:val="0"/>
              <w:jc w:val="center"/>
              <w:rPr>
                <w:rFonts w:ascii="Times New Roman" w:hAnsi="Times New Roman" w:cs="Times New Roman"/>
                <w:color w:val="000000" w:themeColor="text1"/>
                <w:lang w:val="el-GR"/>
              </w:rPr>
            </w:pPr>
          </w:p>
        </w:tc>
        <w:tc>
          <w:tcPr>
            <w:tcW w:w="4967" w:type="dxa"/>
            <w:shd w:val="clear" w:color="auto" w:fill="auto"/>
          </w:tcPr>
          <w:p w14:paraId="00E21CD0" w14:textId="77777777" w:rsidR="008231D1" w:rsidRPr="000819EA" w:rsidRDefault="008231D1" w:rsidP="008231D1">
            <w:pPr>
              <w:pStyle w:val="13"/>
              <w:snapToGrid w:val="0"/>
              <w:jc w:val="center"/>
              <w:rPr>
                <w:rFonts w:ascii="Times New Roman" w:hAnsi="Times New Roman" w:cs="Times New Roman"/>
                <w:color w:val="000000" w:themeColor="text1"/>
                <w:lang w:val="el-GR"/>
              </w:rPr>
            </w:pPr>
          </w:p>
        </w:tc>
      </w:tr>
    </w:tbl>
    <w:p w14:paraId="305E0560" w14:textId="07D7CAF2" w:rsidR="00136595" w:rsidRPr="00693820" w:rsidRDefault="00136595" w:rsidP="008231D1">
      <w:pPr>
        <w:widowControl/>
        <w:jc w:val="center"/>
        <w:rPr>
          <w:color w:val="000000" w:themeColor="text1"/>
          <w:lang w:val="el-GR"/>
        </w:rPr>
      </w:pPr>
    </w:p>
    <w:sectPr w:rsidR="00136595" w:rsidRPr="00693820">
      <w:headerReference w:type="even" r:id="rId9"/>
      <w:headerReference w:type="default" r:id="rId10"/>
      <w:footerReference w:type="even" r:id="rId11"/>
      <w:footerReference w:type="default" r:id="rId12"/>
      <w:headerReference w:type="first" r:id="rId13"/>
      <w:footerReference w:type="first" r:id="rId14"/>
      <w:pgSz w:w="11906" w:h="16838"/>
      <w:pgMar w:top="1186" w:right="1440" w:bottom="1440" w:left="1440" w:header="270" w:footer="58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71A2D" w14:textId="77777777" w:rsidR="00055C5F" w:rsidRDefault="00055C5F">
      <w:pPr>
        <w:spacing w:line="240" w:lineRule="auto"/>
      </w:pPr>
      <w:r>
        <w:separator/>
      </w:r>
    </w:p>
  </w:endnote>
  <w:endnote w:type="continuationSeparator" w:id="0">
    <w:p w14:paraId="1E40A1E5" w14:textId="77777777" w:rsidR="00055C5F" w:rsidRDefault="00055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581">
    <w:altName w:val="Times New Roman"/>
    <w:charset w:val="A1"/>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nt300">
    <w:altName w:val="Times New Roman"/>
    <w:charset w:val="A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A570" w14:textId="77777777" w:rsidR="00336F14" w:rsidRDefault="00336F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CD20" w14:textId="77777777" w:rsidR="00336F14" w:rsidRPr="001C676C" w:rsidRDefault="00336F14">
    <w:pPr>
      <w:tabs>
        <w:tab w:val="center" w:pos="4550"/>
        <w:tab w:val="left" w:pos="5818"/>
      </w:tabs>
      <w:ind w:right="-755"/>
      <w:jc w:val="right"/>
      <w:rPr>
        <w:rFonts w:ascii="Times New Roman" w:hAnsi="Times New Roman" w:cs="Times New Roman"/>
        <w:i/>
        <w:iCs/>
      </w:rPr>
    </w:pPr>
    <w:r w:rsidRPr="001C676C">
      <w:rPr>
        <w:rFonts w:ascii="Times New Roman" w:hAnsi="Times New Roman" w:cs="Times New Roman"/>
        <w:bCs/>
        <w:i/>
        <w:iCs/>
        <w:color w:val="000000"/>
        <w:sz w:val="24"/>
        <w:szCs w:val="24"/>
        <w:lang w:val="el-GR"/>
      </w:rPr>
      <w:t>Σελίδα</w:t>
    </w:r>
    <w:r w:rsidRPr="001C676C">
      <w:rPr>
        <w:rFonts w:ascii="Times New Roman" w:hAnsi="Times New Roman" w:cs="Times New Roman"/>
        <w:bCs/>
        <w:i/>
        <w:iCs/>
        <w:color w:val="000000"/>
        <w:sz w:val="24"/>
        <w:szCs w:val="24"/>
      </w:rPr>
      <w:t xml:space="preserve"> </w:t>
    </w:r>
    <w:r w:rsidRPr="001C676C">
      <w:rPr>
        <w:rFonts w:ascii="Times New Roman" w:hAnsi="Times New Roman" w:cs="Times New Roman"/>
        <w:i/>
        <w:iCs/>
      </w:rPr>
      <w:fldChar w:fldCharType="begin"/>
    </w:r>
    <w:r w:rsidRPr="001C676C">
      <w:rPr>
        <w:rFonts w:ascii="Times New Roman" w:hAnsi="Times New Roman" w:cs="Times New Roman"/>
        <w:i/>
        <w:iCs/>
      </w:rPr>
      <w:instrText xml:space="preserve"> PAGE </w:instrText>
    </w:r>
    <w:r w:rsidRPr="001C676C">
      <w:rPr>
        <w:rFonts w:ascii="Times New Roman" w:hAnsi="Times New Roman" w:cs="Times New Roman"/>
        <w:i/>
        <w:iCs/>
      </w:rPr>
      <w:fldChar w:fldCharType="separate"/>
    </w:r>
    <w:r w:rsidR="00110066">
      <w:rPr>
        <w:rFonts w:ascii="Times New Roman" w:hAnsi="Times New Roman" w:cs="Times New Roman"/>
        <w:i/>
        <w:iCs/>
        <w:noProof/>
      </w:rPr>
      <w:t>10</w:t>
    </w:r>
    <w:r w:rsidRPr="001C676C">
      <w:rPr>
        <w:rFonts w:ascii="Times New Roman" w:hAnsi="Times New Roman" w:cs="Times New Roman"/>
        <w:i/>
        <w:iCs/>
      </w:rPr>
      <w:fldChar w:fldCharType="end"/>
    </w:r>
    <w:r w:rsidRPr="001C676C">
      <w:rPr>
        <w:rFonts w:ascii="Times New Roman" w:hAnsi="Times New Roman" w:cs="Times New Roman"/>
        <w:bCs/>
        <w:i/>
        <w:iCs/>
        <w:color w:val="000000"/>
        <w:sz w:val="24"/>
        <w:szCs w:val="24"/>
        <w:lang w:val="el-GR"/>
      </w:rPr>
      <w:t xml:space="preserve"> από </w:t>
    </w:r>
    <w:r w:rsidRPr="001C676C">
      <w:rPr>
        <w:rFonts w:ascii="Times New Roman" w:hAnsi="Times New Roman" w:cs="Times New Roman"/>
        <w:i/>
        <w:iCs/>
      </w:rPr>
      <w:fldChar w:fldCharType="begin"/>
    </w:r>
    <w:r w:rsidRPr="001C676C">
      <w:rPr>
        <w:rFonts w:ascii="Times New Roman" w:hAnsi="Times New Roman" w:cs="Times New Roman"/>
        <w:i/>
        <w:iCs/>
      </w:rPr>
      <w:instrText xml:space="preserve"> NUMPAGES \*Arabic </w:instrText>
    </w:r>
    <w:r w:rsidRPr="001C676C">
      <w:rPr>
        <w:rFonts w:ascii="Times New Roman" w:hAnsi="Times New Roman" w:cs="Times New Roman"/>
        <w:i/>
        <w:iCs/>
      </w:rPr>
      <w:fldChar w:fldCharType="separate"/>
    </w:r>
    <w:r w:rsidR="00110066">
      <w:rPr>
        <w:rFonts w:ascii="Times New Roman" w:hAnsi="Times New Roman" w:cs="Times New Roman"/>
        <w:i/>
        <w:iCs/>
        <w:noProof/>
      </w:rPr>
      <w:t>11</w:t>
    </w:r>
    <w:r w:rsidRPr="001C676C">
      <w:rPr>
        <w:rFonts w:ascii="Times New Roman" w:hAnsi="Times New Roman" w:cs="Times New Roman"/>
        <w:i/>
        <w:iCs/>
      </w:rPr>
      <w:fldChar w:fldCharType="end"/>
    </w:r>
  </w:p>
  <w:p w14:paraId="5AEF0ECD" w14:textId="77777777" w:rsidR="00336F14" w:rsidRPr="001C676C" w:rsidRDefault="00336F14">
    <w:pPr>
      <w:pStyle w:val="a9"/>
      <w:rPr>
        <w:rFonts w:ascii="Times New Roman" w:hAnsi="Times New Roman" w:cs="Times New Roman"/>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3ABB" w14:textId="77777777" w:rsidR="00336F14" w:rsidRDefault="00336F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A631" w14:textId="77777777" w:rsidR="00055C5F" w:rsidRDefault="00055C5F">
      <w:pPr>
        <w:spacing w:line="240" w:lineRule="auto"/>
      </w:pPr>
      <w:r>
        <w:separator/>
      </w:r>
    </w:p>
  </w:footnote>
  <w:footnote w:type="continuationSeparator" w:id="0">
    <w:p w14:paraId="5E7AB4E8" w14:textId="77777777" w:rsidR="00055C5F" w:rsidRDefault="00055C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2541" w14:textId="77777777" w:rsidR="00336F14" w:rsidRDefault="00336F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464A" w14:textId="77777777" w:rsidR="00336F14" w:rsidRDefault="00336F14">
    <w:pPr>
      <w:jc w:val="center"/>
    </w:pPr>
    <w:r>
      <w:rPr>
        <w:rFonts w:ascii="Century Gothic" w:hAnsi="Century Gothic" w:cs="Century Gothic"/>
        <w:sz w:val="20"/>
        <w:szCs w:val="20"/>
        <w:lang w:val="el-GR"/>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E029" w14:textId="77777777" w:rsidR="00336F14" w:rsidRDefault="00336F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212" w:hanging="360"/>
      </w:pPr>
      <w:rPr>
        <w:rFonts w:ascii="Times New Roman" w:eastAsia="Calibri" w:hAnsi="Times New Roman" w:cs="Times New Roman"/>
        <w:i/>
        <w:iCs/>
        <w:color w:val="1D2129"/>
        <w:sz w:val="24"/>
        <w:szCs w:val="24"/>
        <w:lang w:val="el-GR"/>
      </w:rPr>
    </w:lvl>
    <w:lvl w:ilvl="1">
      <w:start w:val="1"/>
      <w:numFmt w:val="lowerLetter"/>
      <w:lvlText w:val="%2."/>
      <w:lvlJc w:val="left"/>
      <w:pPr>
        <w:tabs>
          <w:tab w:val="num" w:pos="0"/>
        </w:tabs>
        <w:ind w:left="1932" w:hanging="360"/>
      </w:pPr>
    </w:lvl>
    <w:lvl w:ilvl="2">
      <w:start w:val="1"/>
      <w:numFmt w:val="lowerRoman"/>
      <w:lvlText w:val="%2.%3."/>
      <w:lvlJc w:val="right"/>
      <w:pPr>
        <w:tabs>
          <w:tab w:val="num" w:pos="0"/>
        </w:tabs>
        <w:ind w:left="2652" w:hanging="180"/>
      </w:pPr>
    </w:lvl>
    <w:lvl w:ilvl="3">
      <w:start w:val="1"/>
      <w:numFmt w:val="decimal"/>
      <w:lvlText w:val="%2.%3.%4."/>
      <w:lvlJc w:val="left"/>
      <w:pPr>
        <w:tabs>
          <w:tab w:val="num" w:pos="0"/>
        </w:tabs>
        <w:ind w:left="3372" w:hanging="360"/>
      </w:pPr>
    </w:lvl>
    <w:lvl w:ilvl="4">
      <w:start w:val="1"/>
      <w:numFmt w:val="lowerLetter"/>
      <w:lvlText w:val="%2.%3.%4.%5."/>
      <w:lvlJc w:val="left"/>
      <w:pPr>
        <w:tabs>
          <w:tab w:val="num" w:pos="0"/>
        </w:tabs>
        <w:ind w:left="4092" w:hanging="360"/>
      </w:pPr>
    </w:lvl>
    <w:lvl w:ilvl="5">
      <w:start w:val="1"/>
      <w:numFmt w:val="lowerRoman"/>
      <w:lvlText w:val="%2.%3.%4.%5.%6."/>
      <w:lvlJc w:val="right"/>
      <w:pPr>
        <w:tabs>
          <w:tab w:val="num" w:pos="0"/>
        </w:tabs>
        <w:ind w:left="4812" w:hanging="180"/>
      </w:pPr>
    </w:lvl>
    <w:lvl w:ilvl="6">
      <w:start w:val="1"/>
      <w:numFmt w:val="decimal"/>
      <w:lvlText w:val="%2.%3.%4.%5.%6.%7."/>
      <w:lvlJc w:val="left"/>
      <w:pPr>
        <w:tabs>
          <w:tab w:val="num" w:pos="0"/>
        </w:tabs>
        <w:ind w:left="5532" w:hanging="360"/>
      </w:pPr>
    </w:lvl>
    <w:lvl w:ilvl="7">
      <w:start w:val="1"/>
      <w:numFmt w:val="lowerLetter"/>
      <w:lvlText w:val="%2.%3.%4.%5.%6.%7.%8."/>
      <w:lvlJc w:val="left"/>
      <w:pPr>
        <w:tabs>
          <w:tab w:val="num" w:pos="0"/>
        </w:tabs>
        <w:ind w:left="6252" w:hanging="360"/>
      </w:pPr>
    </w:lvl>
    <w:lvl w:ilvl="8">
      <w:start w:val="1"/>
      <w:numFmt w:val="lowerRoman"/>
      <w:lvlText w:val="%2.%3.%4.%5.%6.%7.%8.%9."/>
      <w:lvlJc w:val="right"/>
      <w:pPr>
        <w:tabs>
          <w:tab w:val="num" w:pos="0"/>
        </w:tabs>
        <w:ind w:left="6972" w:hanging="180"/>
      </w:pPr>
    </w:lvl>
  </w:abstractNum>
  <w:abstractNum w:abstractNumId="1">
    <w:nsid w:val="00000002"/>
    <w:multiLevelType w:val="multilevel"/>
    <w:tmpl w:val="00000002"/>
    <w:name w:val="WW8Num2"/>
    <w:lvl w:ilvl="0">
      <w:start w:val="1"/>
      <w:numFmt w:val="decimal"/>
      <w:lvlText w:val="%1."/>
      <w:lvlJc w:val="left"/>
      <w:pPr>
        <w:tabs>
          <w:tab w:val="num" w:pos="0"/>
        </w:tabs>
        <w:ind w:left="502"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b/>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3"/>
      <w:numFmt w:val="decimal"/>
      <w:lvlText w:val="%1."/>
      <w:lvlJc w:val="left"/>
      <w:pPr>
        <w:tabs>
          <w:tab w:val="num" w:pos="0"/>
        </w:tabs>
        <w:ind w:left="502"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4"/>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
        <w:color w:val="222222"/>
        <w:sz w:val="24"/>
        <w:szCs w:val="24"/>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15D07B63"/>
    <w:multiLevelType w:val="hybridMultilevel"/>
    <w:tmpl w:val="D30C27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8E802E5"/>
    <w:multiLevelType w:val="hybridMultilevel"/>
    <w:tmpl w:val="50BCBC9C"/>
    <w:name w:val="WW8Num42"/>
    <w:lvl w:ilvl="0" w:tplc="8B5255FA">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6C"/>
    <w:rsid w:val="000036B8"/>
    <w:rsid w:val="00030DD9"/>
    <w:rsid w:val="00044621"/>
    <w:rsid w:val="00055C5F"/>
    <w:rsid w:val="000819EA"/>
    <w:rsid w:val="00084A4C"/>
    <w:rsid w:val="000B6DD4"/>
    <w:rsid w:val="000C2E89"/>
    <w:rsid w:val="00110066"/>
    <w:rsid w:val="00131B09"/>
    <w:rsid w:val="00136595"/>
    <w:rsid w:val="00163797"/>
    <w:rsid w:val="00163D9D"/>
    <w:rsid w:val="00172932"/>
    <w:rsid w:val="001948A9"/>
    <w:rsid w:val="001B700E"/>
    <w:rsid w:val="001C676C"/>
    <w:rsid w:val="001F20D2"/>
    <w:rsid w:val="001F673F"/>
    <w:rsid w:val="001F6F94"/>
    <w:rsid w:val="00225117"/>
    <w:rsid w:val="00253FC7"/>
    <w:rsid w:val="00285BFD"/>
    <w:rsid w:val="00295746"/>
    <w:rsid w:val="002D1FDE"/>
    <w:rsid w:val="002F3576"/>
    <w:rsid w:val="00304841"/>
    <w:rsid w:val="00321174"/>
    <w:rsid w:val="003265A5"/>
    <w:rsid w:val="00331E5B"/>
    <w:rsid w:val="00336F14"/>
    <w:rsid w:val="003752A6"/>
    <w:rsid w:val="00390E68"/>
    <w:rsid w:val="003F73EB"/>
    <w:rsid w:val="00407AB3"/>
    <w:rsid w:val="004540B8"/>
    <w:rsid w:val="00475DB8"/>
    <w:rsid w:val="004A194E"/>
    <w:rsid w:val="004F6319"/>
    <w:rsid w:val="00501EF3"/>
    <w:rsid w:val="005110CE"/>
    <w:rsid w:val="00512826"/>
    <w:rsid w:val="005362AF"/>
    <w:rsid w:val="00570829"/>
    <w:rsid w:val="00581A2A"/>
    <w:rsid w:val="005A40C6"/>
    <w:rsid w:val="005D2787"/>
    <w:rsid w:val="005D3A33"/>
    <w:rsid w:val="006119CC"/>
    <w:rsid w:val="00617AC7"/>
    <w:rsid w:val="00635F9B"/>
    <w:rsid w:val="00656B98"/>
    <w:rsid w:val="006921C0"/>
    <w:rsid w:val="00693820"/>
    <w:rsid w:val="006D39AC"/>
    <w:rsid w:val="006F562E"/>
    <w:rsid w:val="00712337"/>
    <w:rsid w:val="007133A8"/>
    <w:rsid w:val="007255E3"/>
    <w:rsid w:val="0075405A"/>
    <w:rsid w:val="00756F3B"/>
    <w:rsid w:val="00796C69"/>
    <w:rsid w:val="007A71BF"/>
    <w:rsid w:val="007C0981"/>
    <w:rsid w:val="007F0B74"/>
    <w:rsid w:val="008231D1"/>
    <w:rsid w:val="008303BD"/>
    <w:rsid w:val="00834DAD"/>
    <w:rsid w:val="00840E9E"/>
    <w:rsid w:val="00843041"/>
    <w:rsid w:val="00845939"/>
    <w:rsid w:val="00856E46"/>
    <w:rsid w:val="00880832"/>
    <w:rsid w:val="008B7153"/>
    <w:rsid w:val="008C6A9F"/>
    <w:rsid w:val="00913F1F"/>
    <w:rsid w:val="00932F94"/>
    <w:rsid w:val="009341C1"/>
    <w:rsid w:val="00934C83"/>
    <w:rsid w:val="00950758"/>
    <w:rsid w:val="009B098B"/>
    <w:rsid w:val="009D7DD6"/>
    <w:rsid w:val="00A10E8E"/>
    <w:rsid w:val="00A26D24"/>
    <w:rsid w:val="00A3288D"/>
    <w:rsid w:val="00A54E51"/>
    <w:rsid w:val="00A76C62"/>
    <w:rsid w:val="00A955D1"/>
    <w:rsid w:val="00AA3FF5"/>
    <w:rsid w:val="00AA55AE"/>
    <w:rsid w:val="00AD1DDA"/>
    <w:rsid w:val="00AF7CCE"/>
    <w:rsid w:val="00B02FAE"/>
    <w:rsid w:val="00B27D35"/>
    <w:rsid w:val="00B30F78"/>
    <w:rsid w:val="00BC74FE"/>
    <w:rsid w:val="00BD4664"/>
    <w:rsid w:val="00C35BB6"/>
    <w:rsid w:val="00C872F6"/>
    <w:rsid w:val="00CC3E30"/>
    <w:rsid w:val="00D50CCE"/>
    <w:rsid w:val="00D92F2F"/>
    <w:rsid w:val="00DE5904"/>
    <w:rsid w:val="00E12EBD"/>
    <w:rsid w:val="00E24E79"/>
    <w:rsid w:val="00E77626"/>
    <w:rsid w:val="00E87178"/>
    <w:rsid w:val="00E9797F"/>
    <w:rsid w:val="00EB1B3F"/>
    <w:rsid w:val="00EB3656"/>
    <w:rsid w:val="00EC4C78"/>
    <w:rsid w:val="00F041AA"/>
    <w:rsid w:val="00F6381D"/>
    <w:rsid w:val="00F70BE2"/>
    <w:rsid w:val="00F82329"/>
    <w:rsid w:val="00F93C61"/>
    <w:rsid w:val="00FA79AA"/>
    <w:rsid w:val="00FD4E23"/>
    <w:rsid w:val="00FF77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B0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100" w:lineRule="atLeast"/>
    </w:pPr>
    <w:rPr>
      <w:rFonts w:ascii="Calibri" w:eastAsia="SimSun" w:hAnsi="Calibri" w:cs="font581"/>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Calibri" w:hAnsi="Times New Roman" w:cs="Times New Roman"/>
      <w:i/>
      <w:iCs/>
      <w:color w:val="1D2129"/>
      <w:sz w:val="24"/>
      <w:szCs w:val="24"/>
      <w:lang w:val="el-G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color w:val="222222"/>
      <w:sz w:val="24"/>
      <w:szCs w:val="24"/>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customStyle="1" w:styleId="2">
    <w:name w:val="Προεπιλεγμένη γραμματοσειρά2"/>
  </w:style>
  <w:style w:type="character" w:customStyle="1" w:styleId="Char">
    <w:name w:val="Κεφαλίδα Char"/>
    <w:basedOn w:val="2"/>
  </w:style>
  <w:style w:type="character" w:customStyle="1" w:styleId="Char0">
    <w:name w:val="Υποσέλιδο Char"/>
    <w:basedOn w:val="2"/>
  </w:style>
  <w:style w:type="character" w:customStyle="1" w:styleId="Char1">
    <w:name w:val="Κείμενο πλαισίου Char"/>
    <w:basedOn w:val="2"/>
    <w:rPr>
      <w:rFonts w:ascii="Tahoma" w:hAnsi="Tahoma" w:cs="Tahoma"/>
      <w:sz w:val="16"/>
      <w:szCs w:val="16"/>
    </w:rPr>
  </w:style>
  <w:style w:type="character" w:customStyle="1" w:styleId="ListLabel1">
    <w:name w:val="ListLabel 1"/>
    <w:rPr>
      <w:b w:val="0"/>
      <w:bCs w:val="0"/>
    </w:rPr>
  </w:style>
  <w:style w:type="character" w:customStyle="1" w:styleId="ListLabel2">
    <w:name w:val="ListLabel 2"/>
    <w:rPr>
      <w:b/>
    </w:rPr>
  </w:style>
  <w:style w:type="character" w:customStyle="1" w:styleId="ListLabel3">
    <w:name w:val="ListLabel 3"/>
    <w:rPr>
      <w:rFonts w:eastAsia="SimSun" w:cs="Times New Roman"/>
    </w:rPr>
  </w:style>
  <w:style w:type="character" w:customStyle="1" w:styleId="ListLabel4">
    <w:name w:val="ListLabel 4"/>
    <w:rPr>
      <w:rFonts w:cs="Courier New"/>
    </w:rPr>
  </w:style>
  <w:style w:type="character" w:customStyle="1" w:styleId="ListLabel5">
    <w:name w:val="ListLabel 5"/>
    <w:rPr>
      <w:b/>
      <w:bCs/>
    </w:rPr>
  </w:style>
  <w:style w:type="character" w:customStyle="1" w:styleId="a3">
    <w:name w:val="Χαρακτήρες αρίθμησης"/>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20">
    <w:name w:val="Λεζάντα2"/>
    <w:basedOn w:val="a"/>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0">
    <w:name w:val="Λεζάντα1"/>
    <w:basedOn w:val="a"/>
    <w:pPr>
      <w:suppressLineNumbers/>
      <w:spacing w:before="120" w:after="120"/>
    </w:pPr>
    <w:rPr>
      <w:rFonts w:cs="Mangal"/>
      <w:i/>
      <w:iCs/>
      <w:sz w:val="24"/>
      <w:szCs w:val="24"/>
    </w:rPr>
  </w:style>
  <w:style w:type="paragraph" w:styleId="a8">
    <w:name w:val="header"/>
    <w:basedOn w:val="a"/>
    <w:pPr>
      <w:widowControl/>
      <w:suppressLineNumbers/>
      <w:tabs>
        <w:tab w:val="center" w:pos="4513"/>
        <w:tab w:val="right" w:pos="9026"/>
      </w:tabs>
    </w:pPr>
    <w:rPr>
      <w:lang w:val="en-GB"/>
    </w:rPr>
  </w:style>
  <w:style w:type="paragraph" w:styleId="a9">
    <w:name w:val="footer"/>
    <w:basedOn w:val="a"/>
    <w:pPr>
      <w:widowControl/>
      <w:suppressLineNumbers/>
      <w:tabs>
        <w:tab w:val="center" w:pos="4513"/>
        <w:tab w:val="right" w:pos="9026"/>
      </w:tabs>
    </w:pPr>
    <w:rPr>
      <w:lang w:val="en-GB"/>
    </w:rPr>
  </w:style>
  <w:style w:type="paragraph" w:customStyle="1" w:styleId="11">
    <w:name w:val="Κείμενο πλαισίου1"/>
    <w:basedOn w:val="a"/>
    <w:rPr>
      <w:rFonts w:ascii="Tahoma" w:hAnsi="Tahoma" w:cs="Tahoma"/>
      <w:sz w:val="16"/>
      <w:szCs w:val="16"/>
    </w:rPr>
  </w:style>
  <w:style w:type="paragraph" w:customStyle="1" w:styleId="12">
    <w:name w:val="Παράγραφος λίστας1"/>
    <w:basedOn w:val="a"/>
  </w:style>
  <w:style w:type="paragraph" w:customStyle="1" w:styleId="13">
    <w:name w:val="Χωρίς διάστιχο1"/>
    <w:pPr>
      <w:widowControl w:val="0"/>
      <w:suppressAutoHyphens/>
      <w:spacing w:line="100" w:lineRule="atLeast"/>
    </w:pPr>
    <w:rPr>
      <w:rFonts w:ascii="Calibri" w:eastAsia="SimSun" w:hAnsi="Calibri" w:cs="font581"/>
      <w:sz w:val="22"/>
      <w:szCs w:val="22"/>
      <w:lang w:val="en-US" w:eastAsia="ar-SA"/>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styleId="ac">
    <w:name w:val="Balloon Text"/>
    <w:basedOn w:val="a"/>
    <w:link w:val="Char10"/>
    <w:uiPriority w:val="99"/>
    <w:semiHidden/>
    <w:unhideWhenUsed/>
    <w:rsid w:val="00656B98"/>
    <w:pPr>
      <w:spacing w:line="240" w:lineRule="auto"/>
    </w:pPr>
    <w:rPr>
      <w:rFonts w:ascii="Segoe UI" w:hAnsi="Segoe UI" w:cs="Segoe UI"/>
      <w:sz w:val="18"/>
      <w:szCs w:val="18"/>
    </w:rPr>
  </w:style>
  <w:style w:type="character" w:customStyle="1" w:styleId="Char10">
    <w:name w:val="Κείμενο πλαισίου Char1"/>
    <w:basedOn w:val="a0"/>
    <w:link w:val="ac"/>
    <w:uiPriority w:val="99"/>
    <w:semiHidden/>
    <w:rsid w:val="00656B98"/>
    <w:rPr>
      <w:rFonts w:ascii="Segoe UI" w:eastAsia="SimSun" w:hAnsi="Segoe UI" w:cs="Segoe UI"/>
      <w:sz w:val="18"/>
      <w:szCs w:val="1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100" w:lineRule="atLeast"/>
    </w:pPr>
    <w:rPr>
      <w:rFonts w:ascii="Calibri" w:eastAsia="SimSun" w:hAnsi="Calibri" w:cs="font581"/>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Calibri" w:hAnsi="Times New Roman" w:cs="Times New Roman"/>
      <w:i/>
      <w:iCs/>
      <w:color w:val="1D2129"/>
      <w:sz w:val="24"/>
      <w:szCs w:val="24"/>
      <w:lang w:val="el-G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color w:val="222222"/>
      <w:sz w:val="24"/>
      <w:szCs w:val="24"/>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customStyle="1" w:styleId="2">
    <w:name w:val="Προεπιλεγμένη γραμματοσειρά2"/>
  </w:style>
  <w:style w:type="character" w:customStyle="1" w:styleId="Char">
    <w:name w:val="Κεφαλίδα Char"/>
    <w:basedOn w:val="2"/>
  </w:style>
  <w:style w:type="character" w:customStyle="1" w:styleId="Char0">
    <w:name w:val="Υποσέλιδο Char"/>
    <w:basedOn w:val="2"/>
  </w:style>
  <w:style w:type="character" w:customStyle="1" w:styleId="Char1">
    <w:name w:val="Κείμενο πλαισίου Char"/>
    <w:basedOn w:val="2"/>
    <w:rPr>
      <w:rFonts w:ascii="Tahoma" w:hAnsi="Tahoma" w:cs="Tahoma"/>
      <w:sz w:val="16"/>
      <w:szCs w:val="16"/>
    </w:rPr>
  </w:style>
  <w:style w:type="character" w:customStyle="1" w:styleId="ListLabel1">
    <w:name w:val="ListLabel 1"/>
    <w:rPr>
      <w:b w:val="0"/>
      <w:bCs w:val="0"/>
    </w:rPr>
  </w:style>
  <w:style w:type="character" w:customStyle="1" w:styleId="ListLabel2">
    <w:name w:val="ListLabel 2"/>
    <w:rPr>
      <w:b/>
    </w:rPr>
  </w:style>
  <w:style w:type="character" w:customStyle="1" w:styleId="ListLabel3">
    <w:name w:val="ListLabel 3"/>
    <w:rPr>
      <w:rFonts w:eastAsia="SimSun" w:cs="Times New Roman"/>
    </w:rPr>
  </w:style>
  <w:style w:type="character" w:customStyle="1" w:styleId="ListLabel4">
    <w:name w:val="ListLabel 4"/>
    <w:rPr>
      <w:rFonts w:cs="Courier New"/>
    </w:rPr>
  </w:style>
  <w:style w:type="character" w:customStyle="1" w:styleId="ListLabel5">
    <w:name w:val="ListLabel 5"/>
    <w:rPr>
      <w:b/>
      <w:bCs/>
    </w:rPr>
  </w:style>
  <w:style w:type="character" w:customStyle="1" w:styleId="a3">
    <w:name w:val="Χαρακτήρες αρίθμησης"/>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20">
    <w:name w:val="Λεζάντα2"/>
    <w:basedOn w:val="a"/>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0">
    <w:name w:val="Λεζάντα1"/>
    <w:basedOn w:val="a"/>
    <w:pPr>
      <w:suppressLineNumbers/>
      <w:spacing w:before="120" w:after="120"/>
    </w:pPr>
    <w:rPr>
      <w:rFonts w:cs="Mangal"/>
      <w:i/>
      <w:iCs/>
      <w:sz w:val="24"/>
      <w:szCs w:val="24"/>
    </w:rPr>
  </w:style>
  <w:style w:type="paragraph" w:styleId="a8">
    <w:name w:val="header"/>
    <w:basedOn w:val="a"/>
    <w:pPr>
      <w:widowControl/>
      <w:suppressLineNumbers/>
      <w:tabs>
        <w:tab w:val="center" w:pos="4513"/>
        <w:tab w:val="right" w:pos="9026"/>
      </w:tabs>
    </w:pPr>
    <w:rPr>
      <w:lang w:val="en-GB"/>
    </w:rPr>
  </w:style>
  <w:style w:type="paragraph" w:styleId="a9">
    <w:name w:val="footer"/>
    <w:basedOn w:val="a"/>
    <w:pPr>
      <w:widowControl/>
      <w:suppressLineNumbers/>
      <w:tabs>
        <w:tab w:val="center" w:pos="4513"/>
        <w:tab w:val="right" w:pos="9026"/>
      </w:tabs>
    </w:pPr>
    <w:rPr>
      <w:lang w:val="en-GB"/>
    </w:rPr>
  </w:style>
  <w:style w:type="paragraph" w:customStyle="1" w:styleId="11">
    <w:name w:val="Κείμενο πλαισίου1"/>
    <w:basedOn w:val="a"/>
    <w:rPr>
      <w:rFonts w:ascii="Tahoma" w:hAnsi="Tahoma" w:cs="Tahoma"/>
      <w:sz w:val="16"/>
      <w:szCs w:val="16"/>
    </w:rPr>
  </w:style>
  <w:style w:type="paragraph" w:customStyle="1" w:styleId="12">
    <w:name w:val="Παράγραφος λίστας1"/>
    <w:basedOn w:val="a"/>
  </w:style>
  <w:style w:type="paragraph" w:customStyle="1" w:styleId="13">
    <w:name w:val="Χωρίς διάστιχο1"/>
    <w:pPr>
      <w:widowControl w:val="0"/>
      <w:suppressAutoHyphens/>
      <w:spacing w:line="100" w:lineRule="atLeast"/>
    </w:pPr>
    <w:rPr>
      <w:rFonts w:ascii="Calibri" w:eastAsia="SimSun" w:hAnsi="Calibri" w:cs="font581"/>
      <w:sz w:val="22"/>
      <w:szCs w:val="22"/>
      <w:lang w:val="en-US" w:eastAsia="ar-SA"/>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styleId="ac">
    <w:name w:val="Balloon Text"/>
    <w:basedOn w:val="a"/>
    <w:link w:val="Char10"/>
    <w:uiPriority w:val="99"/>
    <w:semiHidden/>
    <w:unhideWhenUsed/>
    <w:rsid w:val="00656B98"/>
    <w:pPr>
      <w:spacing w:line="240" w:lineRule="auto"/>
    </w:pPr>
    <w:rPr>
      <w:rFonts w:ascii="Segoe UI" w:hAnsi="Segoe UI" w:cs="Segoe UI"/>
      <w:sz w:val="18"/>
      <w:szCs w:val="18"/>
    </w:rPr>
  </w:style>
  <w:style w:type="character" w:customStyle="1" w:styleId="Char10">
    <w:name w:val="Κείμενο πλαισίου Char1"/>
    <w:basedOn w:val="a0"/>
    <w:link w:val="ac"/>
    <w:uiPriority w:val="99"/>
    <w:semiHidden/>
    <w:rsid w:val="00656B98"/>
    <w:rPr>
      <w:rFonts w:ascii="Segoe UI" w:eastAsia="SimSu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3842</Words>
  <Characters>20752</Characters>
  <Application>Microsoft Office Word</Application>
  <DocSecurity>0</DocSecurity>
  <Lines>172</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dc:creator>
  <cp:lastModifiedBy>ΝΙΚΟΣΒΟΣΔΟΓΑΝΗΣ</cp:lastModifiedBy>
  <cp:revision>2</cp:revision>
  <cp:lastPrinted>2021-06-26T15:18:00Z</cp:lastPrinted>
  <dcterms:created xsi:type="dcterms:W3CDTF">2022-05-30T10:29:00Z</dcterms:created>
  <dcterms:modified xsi:type="dcterms:W3CDTF">2022-05-30T10:29:00Z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